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4.8  DIAGNÓSTICO FÍSICO Y BIOLÓGICO</w:t>
      </w:r>
    </w:p>
    <w:p>
      <w:pPr>
        <w:spacing w:after="150" w:line="276"/>
        <w:jc w:val="both"/>
      </w:pPr>
      <w:r>
        <w:t xml:space="preserve">El predio corresponde a la Comunidad Indígena de San Juan de los Potreros, en el municipio de Chimaltitán, al norte del estado de Jalisco, con una superficie comunal de 16,126.72 hectáreas. Se localiza en la región del Cañón de Bolaños, en las estribaciones meridionales de la Sierra Madre Occidental, con centroide aproximado en los 21°44′ de latitud norte y 103°36′ de longitud oeste. La información municipal y regional que se cita en este diagnóstico constituye el marco de referencia; los atributos a nivel de predio se obtienen de la intersección de las cartas temáticas oficiales con el polígono del predio, del modelo digital de elevación y del trabajo de campo, según se precisa en cada apartado.</w:t>
      </w:r>
    </w:p>
    <w:p>
      <w:pPr>
        <w:pStyle w:val="Heading2"/>
      </w:pPr>
      <w:r>
        <w:t xml:space="preserve">4.8.1  Clima</w:t>
      </w:r>
    </w:p>
    <w:p>
      <w:pPr>
        <w:spacing w:after="150" w:line="276"/>
        <w:jc w:val="both"/>
      </w:pPr>
      <w:r>
        <w:t xml:space="preserve">En el municipio predomina el clima templado subhúmedo, que cubre el 57.9 % del territorio, seguido del semicálido semihúmedo (32.8 %) y del semiárido cálido (9.3 %). La temperatura media anual es de 18.1 °C, con promedios máximo y mínimo de 29.8 °C y 7.4 °C, y una precipitación media anual de 743 mm (IIEG, 2018, con base en CONABIO). En la clasificación de Köppen modificada por E. García, el clima templado subhúmedo corresponde al grupo C(w).</w:t>
      </w:r>
    </w:p>
    <w:p>
      <w:pPr>
        <w:spacing w:after="160" w:line="276"/>
        <w:ind w:left="340"/>
        <w:jc w:val="both"/>
      </w:pPr>
      <w:r>
        <w:rPr>
          <w:b/>
          <w:bCs/>
          <w:i/>
          <w:iCs/>
        </w:rPr>
        <w:t xml:space="preserve">Pendiente a nivel de predio. </w:t>
      </w:r>
      <w:r>
        <w:rPr>
          <w:i/>
          <w:iCs/>
        </w:rPr>
        <w:t xml:space="preserve">La fórmula climática específica (subtipo C(w0), C(w1) o C(w2)) y la proporción de cada tipo de clima dentro del predio se obtendrán de la carta de climas (CONABIO/INEGI) intersectada con el polígono, o de los datos de la estación climatológica más cercana.</w:t>
      </w:r>
    </w:p>
    <w:p>
      <w:pPr>
        <w:pStyle w:val="Heading2"/>
      </w:pPr>
      <w:r>
        <w:t xml:space="preserve">4.8.2  Fisiografía y relieve</w:t>
      </w:r>
    </w:p>
    <w:p>
      <w:pPr>
        <w:spacing w:after="150" w:line="276"/>
        <w:jc w:val="both"/>
      </w:pPr>
      <w:r>
        <w:t xml:space="preserve">El predio se ubica en la provincia fisiográfica Sierra Madre Occidental. El territorio municipal presenta altitudes entre 820 y 2,660 msnm; el 46.3 % de su superficie es montañosa (pendientes mayores a 15°), el 31.1 % de lomerío (5° a 15°) y el 22.6 % de terreno plano (menor a 5°) (IIEG, 2018). El relieve es predominantemente montañoso, característico del Cañón de Bolaños.</w:t>
      </w:r>
    </w:p>
    <w:p>
      <w:pPr>
        <w:spacing w:after="160" w:line="276"/>
        <w:ind w:left="340"/>
        <w:jc w:val="both"/>
      </w:pPr>
      <w:r>
        <w:rPr>
          <w:b/>
          <w:bCs/>
          <w:i/>
          <w:iCs/>
        </w:rPr>
        <w:t xml:space="preserve">Pendiente a nivel de predio. </w:t>
      </w:r>
      <w:r>
        <w:rPr>
          <w:i/>
          <w:iCs/>
        </w:rPr>
        <w:t xml:space="preserve">La altitud máxima, mínima y media del predio, así como la distribución de pendientes y de exposiciones, se derivarán del modelo digital de elevación (continuo de elevaciones INEGI o equivalente) una vez incorporado.</w:t>
      </w:r>
    </w:p>
    <w:p>
      <w:pPr>
        <w:pStyle w:val="Heading2"/>
      </w:pPr>
      <w:r>
        <w:t xml:space="preserve">4.8.3  Geología</w:t>
      </w:r>
    </w:p>
    <w:p>
      <w:pPr>
        <w:spacing w:after="150" w:line="276"/>
        <w:jc w:val="both"/>
      </w:pPr>
      <w:r>
        <w:t xml:space="preserve">El sustrato dominante del municipio son rocas ígneas extrusivas: toba (65.1 %) y roca extrusiva ácida (25.9 %), con menores proporciones de material residual (5.8 %), conglomerado (1.8 %) y aluvial (0.7 %) (IIEG, 2018). Esta composición es congruente con el vulcanismo riolítico e ignimbrítico que conforma la Sierra Madre Occidental.</w:t>
      </w:r>
    </w:p>
    <w:p>
      <w:pPr>
        <w:spacing w:after="160" w:line="276"/>
        <w:ind w:left="340"/>
        <w:jc w:val="both"/>
      </w:pPr>
      <w:r>
        <w:rPr>
          <w:b/>
          <w:bCs/>
          <w:i/>
          <w:iCs/>
        </w:rPr>
        <w:t xml:space="preserve">Pendiente a nivel de predio. </w:t>
      </w:r>
      <w:r>
        <w:rPr>
          <w:i/>
          <w:iCs/>
        </w:rPr>
        <w:t xml:space="preserve">Las unidades litológicas presentes en el predio y su superficie se obtendrán de la carta geológica INEGI escala 1:50,000 intersectada con el polígono.</w:t>
      </w:r>
    </w:p>
    <w:p>
      <w:pPr>
        <w:pStyle w:val="Heading2"/>
      </w:pPr>
      <w:r>
        <w:t xml:space="preserve">4.8.4  Suelos</w:t>
      </w:r>
    </w:p>
    <w:p>
      <w:pPr>
        <w:spacing w:after="150" w:line="276"/>
        <w:jc w:val="both"/>
      </w:pPr>
      <w:r>
        <w:t xml:space="preserve">Los suelos dominantes en el municipio son Cambisol (30.8 %), Litosol o Leptosol (27.6 %), Luvisol (19.1 %) y Feozem (18.6 %), con menor presencia de Regosol (2.3 %) (IIEG, 2018). Los Cambisoles son suelos jóvenes y poco desarrollados, con susceptibilidad de moderada a alta a la erosión; los Litosoles son someros, limitados por la roca y frecuentes en las laderas de mayor pendiente, condición relevante para la planeación de la extracción y la protección del suelo.</w:t>
      </w:r>
    </w:p>
    <w:p>
      <w:pPr>
        <w:spacing w:after="160" w:line="276"/>
        <w:ind w:left="340"/>
        <w:jc w:val="both"/>
      </w:pPr>
      <w:r>
        <w:rPr>
          <w:b/>
          <w:bCs/>
          <w:i/>
          <w:iCs/>
        </w:rPr>
        <w:t xml:space="preserve">Pendiente a nivel de predio. </w:t>
      </w:r>
      <w:r>
        <w:rPr>
          <w:i/>
          <w:iCs/>
        </w:rPr>
        <w:t xml:space="preserve">Las unidades de suelo del predio y su superficie se obtendrán de la carta edafológica INEGI escala 1:50,000 intersectada con el polígono.</w:t>
      </w:r>
    </w:p>
    <w:p>
      <w:pPr>
        <w:pStyle w:val="Heading2"/>
      </w:pPr>
      <w:r>
        <w:t xml:space="preserve">4.8.5  Hidrología</w:t>
      </w:r>
    </w:p>
    <w:p>
      <w:pPr>
        <w:spacing w:after="150" w:line="276"/>
        <w:jc w:val="both"/>
      </w:pPr>
      <w:r>
        <w:t xml:space="preserve">El predio se inscribe en la Región Hidrológica número 12 Lerma-Santiago, subregión hidrológica Río Santiago, cuenca RH12-K Río Bolaños (CONAGUA; CEA Jalisco). Dentro del polígono comunal, las corrientes se distribuyen en dos subcuencas: RH12Ke, que concentra la mayor parte con 326.28 km de cauces, y RH12Kd con 107.33 km.</w:t>
      </w:r>
    </w:p>
    <w:p>
      <w:pPr>
        <w:spacing w:after="150" w:line="276"/>
        <w:jc w:val="both"/>
      </w:pPr>
      <w:r>
        <w:t xml:space="preserve">La red hidrográfica del predio suma 433.60 km de corrientes en 1,075 tramos, con una densidad de drenaje de 2.69 km/km². Predominan ampliamente las corrientes intermitentes (418.23 km en 1,013 tramos) sobre las perennes (15.17 km en 59 tramos), lo que es propio de un régimen marcadamente estacional. Por orden de corriente, según el esquema de Strahler, la red alcanza el sexto orden; los órdenes uno y dos concentran la mayor longitud, lo que indica una red densa y bien ramificada, característica del relieve montañoso del predio.</w:t>
      </w:r>
    </w:p>
    <w:tbl>
      <w:tblPr>
        <w:tblW w:type="pct" w:w="7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tblGrid>
      <w:tr>
        <w:trPr>
          <w:tblHeader/>
        </w:trPr>
        <w:tc>
          <w:tcPr>
            <w:tcW w:type="pct" w:w="34%"/>
            <w:shd w:fill="E6E6E6" w:color="auto" w:val="clear"/>
            <w:tcMar>
              <w:top w:type="dxa" w:w="30"/>
              <w:left w:type="dxa" w:w="60"/>
              <w:bottom w:type="dxa" w:w="30"/>
              <w:right w:type="dxa" w:w="60"/>
            </w:tcMar>
          </w:tcPr>
          <w:p>
            <w:pPr>
              <w:spacing w:after="0" w:line="240"/>
              <w:jc w:val="left"/>
            </w:pPr>
            <w:r>
              <w:rPr>
                <w:b/>
                <w:bCs/>
                <w:sz w:val="18"/>
                <w:szCs w:val="18"/>
              </w:rPr>
              <w:t xml:space="preserve">Orden (Strahler)</w:t>
            </w:r>
          </w:p>
        </w:tc>
        <w:tc>
          <w:tcPr>
            <w:tcW w:type="pct" w:w="33%"/>
            <w:shd w:fill="E6E6E6" w:color="auto" w:val="clear"/>
            <w:tcMar>
              <w:top w:type="dxa" w:w="30"/>
              <w:left w:type="dxa" w:w="60"/>
              <w:bottom w:type="dxa" w:w="30"/>
              <w:right w:type="dxa" w:w="60"/>
            </w:tcMar>
          </w:tcPr>
          <w:p>
            <w:pPr>
              <w:spacing w:after="0" w:line="240"/>
              <w:jc w:val="center"/>
            </w:pPr>
            <w:r>
              <w:rPr>
                <w:b/>
                <w:bCs/>
                <w:sz w:val="18"/>
                <w:szCs w:val="18"/>
              </w:rPr>
              <w:t xml:space="preserve">Tramos</w:t>
            </w:r>
          </w:p>
        </w:tc>
        <w:tc>
          <w:tcPr>
            <w:tcW w:type="pct" w:w="33%"/>
            <w:shd w:fill="E6E6E6" w:color="auto" w:val="clear"/>
            <w:tcMar>
              <w:top w:type="dxa" w:w="30"/>
              <w:left w:type="dxa" w:w="60"/>
              <w:bottom w:type="dxa" w:w="30"/>
              <w:right w:type="dxa" w:w="60"/>
            </w:tcMar>
          </w:tcPr>
          <w:p>
            <w:pPr>
              <w:spacing w:after="0" w:line="240"/>
              <w:jc w:val="center"/>
            </w:pPr>
            <w:r>
              <w:rPr>
                <w:b/>
                <w:bCs/>
                <w:sz w:val="18"/>
                <w:szCs w:val="18"/>
              </w:rPr>
              <w:t xml:space="preserve">Longitud (km)</w:t>
            </w:r>
          </w:p>
        </w:tc>
      </w:tr>
      <w:tr>
        <w:trPr>
          <w:tblHeader w:val="false"/>
        </w:trPr>
        <w:tc>
          <w:tcPr>
            <w:tcW w:type="pct" w:w="34%"/>
            <w:tcMar>
              <w:top w:type="dxa" w:w="30"/>
              <w:left w:type="dxa" w:w="60"/>
              <w:bottom w:type="dxa" w:w="30"/>
              <w:right w:type="dxa" w:w="60"/>
            </w:tcMar>
          </w:tcPr>
          <w:p>
            <w:pPr>
              <w:spacing w:after="0" w:line="240"/>
              <w:jc w:val="left"/>
            </w:pPr>
            <w:r>
              <w:rPr>
                <w:b w:val="false"/>
                <w:bCs w:val="false"/>
                <w:sz w:val="18"/>
                <w:szCs w:val="18"/>
              </w:rPr>
              <w:t xml:space="preserve">1</w:t>
            </w:r>
          </w:p>
        </w:tc>
        <w:tc>
          <w:tcPr>
            <w:tcW w:type="pct" w:w="33%"/>
            <w:tcMar>
              <w:top w:type="dxa" w:w="30"/>
              <w:left w:type="dxa" w:w="60"/>
              <w:bottom w:type="dxa" w:w="30"/>
              <w:right w:type="dxa" w:w="60"/>
            </w:tcMar>
          </w:tcPr>
          <w:p>
            <w:pPr>
              <w:spacing w:after="0" w:line="240"/>
              <w:jc w:val="center"/>
            </w:pPr>
            <w:r>
              <w:rPr>
                <w:b w:val="false"/>
                <w:bCs w:val="false"/>
                <w:sz w:val="18"/>
                <w:szCs w:val="18"/>
              </w:rPr>
              <w:t xml:space="preserve">559</w:t>
            </w:r>
          </w:p>
        </w:tc>
        <w:tc>
          <w:tcPr>
            <w:tcW w:type="pct" w:w="33%"/>
            <w:tcMar>
              <w:top w:type="dxa" w:w="30"/>
              <w:left w:type="dxa" w:w="60"/>
              <w:bottom w:type="dxa" w:w="30"/>
              <w:right w:type="dxa" w:w="60"/>
            </w:tcMar>
          </w:tcPr>
          <w:p>
            <w:pPr>
              <w:spacing w:after="0" w:line="240"/>
              <w:jc w:val="center"/>
            </w:pPr>
            <w:r>
              <w:rPr>
                <w:b w:val="false"/>
                <w:bCs w:val="false"/>
                <w:sz w:val="18"/>
                <w:szCs w:val="18"/>
              </w:rPr>
              <w:t xml:space="preserve">283.27</w:t>
            </w:r>
          </w:p>
        </w:tc>
      </w:tr>
      <w:tr>
        <w:trPr>
          <w:tblHeader w:val="false"/>
        </w:trPr>
        <w:tc>
          <w:tcPr>
            <w:tcW w:type="pct" w:w="34%"/>
            <w:tcMar>
              <w:top w:type="dxa" w:w="30"/>
              <w:left w:type="dxa" w:w="60"/>
              <w:bottom w:type="dxa" w:w="30"/>
              <w:right w:type="dxa" w:w="60"/>
            </w:tcMar>
          </w:tcPr>
          <w:p>
            <w:pPr>
              <w:spacing w:after="0" w:line="240"/>
              <w:jc w:val="left"/>
            </w:pPr>
            <w:r>
              <w:rPr>
                <w:b w:val="false"/>
                <w:bCs w:val="false"/>
                <w:sz w:val="18"/>
                <w:szCs w:val="18"/>
              </w:rPr>
              <w:t xml:space="preserve">2</w:t>
            </w:r>
          </w:p>
        </w:tc>
        <w:tc>
          <w:tcPr>
            <w:tcW w:type="pct" w:w="33%"/>
            <w:tcMar>
              <w:top w:type="dxa" w:w="30"/>
              <w:left w:type="dxa" w:w="60"/>
              <w:bottom w:type="dxa" w:w="30"/>
              <w:right w:type="dxa" w:w="60"/>
            </w:tcMar>
          </w:tcPr>
          <w:p>
            <w:pPr>
              <w:spacing w:after="0" w:line="240"/>
              <w:jc w:val="center"/>
            </w:pPr>
            <w:r>
              <w:rPr>
                <w:b w:val="false"/>
                <w:bCs w:val="false"/>
                <w:sz w:val="18"/>
                <w:szCs w:val="18"/>
              </w:rPr>
              <w:t xml:space="preserve">264</w:t>
            </w:r>
          </w:p>
        </w:tc>
        <w:tc>
          <w:tcPr>
            <w:tcW w:type="pct" w:w="33%"/>
            <w:tcMar>
              <w:top w:type="dxa" w:w="30"/>
              <w:left w:type="dxa" w:w="60"/>
              <w:bottom w:type="dxa" w:w="30"/>
              <w:right w:type="dxa" w:w="60"/>
            </w:tcMar>
          </w:tcPr>
          <w:p>
            <w:pPr>
              <w:spacing w:after="0" w:line="240"/>
              <w:jc w:val="center"/>
            </w:pPr>
            <w:r>
              <w:rPr>
                <w:b w:val="false"/>
                <w:bCs w:val="false"/>
                <w:sz w:val="18"/>
                <w:szCs w:val="18"/>
              </w:rPr>
              <w:t xml:space="preserve">76.90</w:t>
            </w:r>
          </w:p>
        </w:tc>
      </w:tr>
      <w:tr>
        <w:trPr>
          <w:tblHeader w:val="false"/>
        </w:trPr>
        <w:tc>
          <w:tcPr>
            <w:tcW w:type="pct" w:w="34%"/>
            <w:tcMar>
              <w:top w:type="dxa" w:w="30"/>
              <w:left w:type="dxa" w:w="60"/>
              <w:bottom w:type="dxa" w:w="30"/>
              <w:right w:type="dxa" w:w="60"/>
            </w:tcMar>
          </w:tcPr>
          <w:p>
            <w:pPr>
              <w:spacing w:after="0" w:line="240"/>
              <w:jc w:val="left"/>
            </w:pPr>
            <w:r>
              <w:rPr>
                <w:b w:val="false"/>
                <w:bCs w:val="false"/>
                <w:sz w:val="18"/>
                <w:szCs w:val="18"/>
              </w:rPr>
              <w:t xml:space="preserve">3</w:t>
            </w:r>
          </w:p>
        </w:tc>
        <w:tc>
          <w:tcPr>
            <w:tcW w:type="pct" w:w="33%"/>
            <w:tcMar>
              <w:top w:type="dxa" w:w="30"/>
              <w:left w:type="dxa" w:w="60"/>
              <w:bottom w:type="dxa" w:w="30"/>
              <w:right w:type="dxa" w:w="60"/>
            </w:tcMar>
          </w:tcPr>
          <w:p>
            <w:pPr>
              <w:spacing w:after="0" w:line="240"/>
              <w:jc w:val="center"/>
            </w:pPr>
            <w:r>
              <w:rPr>
                <w:b w:val="false"/>
                <w:bCs w:val="false"/>
                <w:sz w:val="18"/>
                <w:szCs w:val="18"/>
              </w:rPr>
              <w:t xml:space="preserve">157</w:t>
            </w:r>
          </w:p>
        </w:tc>
        <w:tc>
          <w:tcPr>
            <w:tcW w:type="pct" w:w="33%"/>
            <w:tcMar>
              <w:top w:type="dxa" w:w="30"/>
              <w:left w:type="dxa" w:w="60"/>
              <w:bottom w:type="dxa" w:w="30"/>
              <w:right w:type="dxa" w:w="60"/>
            </w:tcMar>
          </w:tcPr>
          <w:p>
            <w:pPr>
              <w:spacing w:after="0" w:line="240"/>
              <w:jc w:val="center"/>
            </w:pPr>
            <w:r>
              <w:rPr>
                <w:b w:val="false"/>
                <w:bCs w:val="false"/>
                <w:sz w:val="18"/>
                <w:szCs w:val="18"/>
              </w:rPr>
              <w:t xml:space="preserve">42.32</w:t>
            </w:r>
          </w:p>
        </w:tc>
      </w:tr>
      <w:tr>
        <w:trPr>
          <w:tblHeader w:val="false"/>
        </w:trPr>
        <w:tc>
          <w:tcPr>
            <w:tcW w:type="pct" w:w="34%"/>
            <w:tcMar>
              <w:top w:type="dxa" w:w="30"/>
              <w:left w:type="dxa" w:w="60"/>
              <w:bottom w:type="dxa" w:w="30"/>
              <w:right w:type="dxa" w:w="60"/>
            </w:tcMar>
          </w:tcPr>
          <w:p>
            <w:pPr>
              <w:spacing w:after="0" w:line="240"/>
              <w:jc w:val="left"/>
            </w:pPr>
            <w:r>
              <w:rPr>
                <w:b w:val="false"/>
                <w:bCs w:val="false"/>
                <w:sz w:val="18"/>
                <w:szCs w:val="18"/>
              </w:rPr>
              <w:t xml:space="preserve">4</w:t>
            </w:r>
          </w:p>
        </w:tc>
        <w:tc>
          <w:tcPr>
            <w:tcW w:type="pct" w:w="33%"/>
            <w:tcMar>
              <w:top w:type="dxa" w:w="30"/>
              <w:left w:type="dxa" w:w="60"/>
              <w:bottom w:type="dxa" w:w="30"/>
              <w:right w:type="dxa" w:w="60"/>
            </w:tcMar>
          </w:tcPr>
          <w:p>
            <w:pPr>
              <w:spacing w:after="0" w:line="240"/>
              <w:jc w:val="center"/>
            </w:pPr>
            <w:r>
              <w:rPr>
                <w:b w:val="false"/>
                <w:bCs w:val="false"/>
                <w:sz w:val="18"/>
                <w:szCs w:val="18"/>
              </w:rPr>
              <w:t xml:space="preserve">41</w:t>
            </w:r>
          </w:p>
        </w:tc>
        <w:tc>
          <w:tcPr>
            <w:tcW w:type="pct" w:w="33%"/>
            <w:tcMar>
              <w:top w:type="dxa" w:w="30"/>
              <w:left w:type="dxa" w:w="60"/>
              <w:bottom w:type="dxa" w:w="30"/>
              <w:right w:type="dxa" w:w="60"/>
            </w:tcMar>
          </w:tcPr>
          <w:p>
            <w:pPr>
              <w:spacing w:after="0" w:line="240"/>
              <w:jc w:val="center"/>
            </w:pPr>
            <w:r>
              <w:rPr>
                <w:b w:val="false"/>
                <w:bCs w:val="false"/>
                <w:sz w:val="18"/>
                <w:szCs w:val="18"/>
              </w:rPr>
              <w:t xml:space="preserve">12.38</w:t>
            </w:r>
          </w:p>
        </w:tc>
      </w:tr>
      <w:tr>
        <w:trPr>
          <w:tblHeader w:val="false"/>
        </w:trPr>
        <w:tc>
          <w:tcPr>
            <w:tcW w:type="pct" w:w="34%"/>
            <w:tcMar>
              <w:top w:type="dxa" w:w="30"/>
              <w:left w:type="dxa" w:w="60"/>
              <w:bottom w:type="dxa" w:w="30"/>
              <w:right w:type="dxa" w:w="60"/>
            </w:tcMar>
          </w:tcPr>
          <w:p>
            <w:pPr>
              <w:spacing w:after="0" w:line="240"/>
              <w:jc w:val="left"/>
            </w:pPr>
            <w:r>
              <w:rPr>
                <w:b w:val="false"/>
                <w:bCs w:val="false"/>
                <w:sz w:val="18"/>
                <w:szCs w:val="18"/>
              </w:rPr>
              <w:t xml:space="preserve">5</w:t>
            </w:r>
          </w:p>
        </w:tc>
        <w:tc>
          <w:tcPr>
            <w:tcW w:type="pct" w:w="33%"/>
            <w:tcMar>
              <w:top w:type="dxa" w:w="30"/>
              <w:left w:type="dxa" w:w="60"/>
              <w:bottom w:type="dxa" w:w="30"/>
              <w:right w:type="dxa" w:w="60"/>
            </w:tcMar>
          </w:tcPr>
          <w:p>
            <w:pPr>
              <w:spacing w:after="0" w:line="240"/>
              <w:jc w:val="center"/>
            </w:pPr>
            <w:r>
              <w:rPr>
                <w:b w:val="false"/>
                <w:bCs w:val="false"/>
                <w:sz w:val="18"/>
                <w:szCs w:val="18"/>
              </w:rPr>
              <w:t xml:space="preserve">41</w:t>
            </w:r>
          </w:p>
        </w:tc>
        <w:tc>
          <w:tcPr>
            <w:tcW w:type="pct" w:w="33%"/>
            <w:tcMar>
              <w:top w:type="dxa" w:w="30"/>
              <w:left w:type="dxa" w:w="60"/>
              <w:bottom w:type="dxa" w:w="30"/>
              <w:right w:type="dxa" w:w="60"/>
            </w:tcMar>
          </w:tcPr>
          <w:p>
            <w:pPr>
              <w:spacing w:after="0" w:line="240"/>
              <w:jc w:val="center"/>
            </w:pPr>
            <w:r>
              <w:rPr>
                <w:b w:val="false"/>
                <w:bCs w:val="false"/>
                <w:sz w:val="18"/>
                <w:szCs w:val="18"/>
              </w:rPr>
              <w:t xml:space="preserve">15.20</w:t>
            </w:r>
          </w:p>
        </w:tc>
      </w:tr>
      <w:tr>
        <w:trPr>
          <w:tblHeader w:val="false"/>
        </w:trPr>
        <w:tc>
          <w:tcPr>
            <w:tcW w:type="pct" w:w="34%"/>
            <w:tcMar>
              <w:top w:type="dxa" w:w="30"/>
              <w:left w:type="dxa" w:w="60"/>
              <w:bottom w:type="dxa" w:w="30"/>
              <w:right w:type="dxa" w:w="60"/>
            </w:tcMar>
          </w:tcPr>
          <w:p>
            <w:pPr>
              <w:spacing w:after="0" w:line="240"/>
              <w:jc w:val="left"/>
            </w:pPr>
            <w:r>
              <w:rPr>
                <w:b w:val="false"/>
                <w:bCs w:val="false"/>
                <w:sz w:val="18"/>
                <w:szCs w:val="18"/>
              </w:rPr>
              <w:t xml:space="preserve">6</w:t>
            </w:r>
          </w:p>
        </w:tc>
        <w:tc>
          <w:tcPr>
            <w:tcW w:type="pct" w:w="33%"/>
            <w:tcMar>
              <w:top w:type="dxa" w:w="30"/>
              <w:left w:type="dxa" w:w="60"/>
              <w:bottom w:type="dxa" w:w="30"/>
              <w:right w:type="dxa" w:w="60"/>
            </w:tcMar>
          </w:tcPr>
          <w:p>
            <w:pPr>
              <w:spacing w:after="0" w:line="240"/>
              <w:jc w:val="center"/>
            </w:pPr>
            <w:r>
              <w:rPr>
                <w:b w:val="false"/>
                <w:bCs w:val="false"/>
                <w:sz w:val="18"/>
                <w:szCs w:val="18"/>
              </w:rPr>
              <w:t xml:space="preserve">13</w:t>
            </w:r>
          </w:p>
        </w:tc>
        <w:tc>
          <w:tcPr>
            <w:tcW w:type="pct" w:w="33%"/>
            <w:tcMar>
              <w:top w:type="dxa" w:w="30"/>
              <w:left w:type="dxa" w:w="60"/>
              <w:bottom w:type="dxa" w:w="30"/>
              <w:right w:type="dxa" w:w="60"/>
            </w:tcMar>
          </w:tcPr>
          <w:p>
            <w:pPr>
              <w:spacing w:after="0" w:line="240"/>
              <w:jc w:val="center"/>
            </w:pPr>
            <w:r>
              <w:rPr>
                <w:b w:val="false"/>
                <w:bCs w:val="false"/>
                <w:sz w:val="18"/>
                <w:szCs w:val="18"/>
              </w:rPr>
              <w:t xml:space="preserve">3.53</w:t>
            </w:r>
          </w:p>
        </w:tc>
      </w:tr>
      <w:tr>
        <w:trPr>
          <w:tblHeader w:val="false"/>
        </w:trPr>
        <w:tc>
          <w:tcPr>
            <w:tcW w:type="pct" w:w="34%"/>
            <w:tcMar>
              <w:top w:type="dxa" w:w="30"/>
              <w:left w:type="dxa" w:w="60"/>
              <w:bottom w:type="dxa" w:w="30"/>
              <w:right w:type="dxa" w:w="60"/>
            </w:tcMar>
          </w:tcPr>
          <w:p>
            <w:pPr>
              <w:spacing w:after="0" w:line="240"/>
              <w:jc w:val="left"/>
            </w:pPr>
            <w:r>
              <w:rPr>
                <w:b w:val="false"/>
                <w:bCs w:val="false"/>
                <w:sz w:val="18"/>
                <w:szCs w:val="18"/>
              </w:rPr>
              <w:t xml:space="preserve">Total</w:t>
            </w:r>
          </w:p>
        </w:tc>
        <w:tc>
          <w:tcPr>
            <w:tcW w:type="pct" w:w="33%"/>
            <w:tcMar>
              <w:top w:type="dxa" w:w="30"/>
              <w:left w:type="dxa" w:w="60"/>
              <w:bottom w:type="dxa" w:w="30"/>
              <w:right w:type="dxa" w:w="60"/>
            </w:tcMar>
          </w:tcPr>
          <w:p>
            <w:pPr>
              <w:spacing w:after="0" w:line="240"/>
              <w:jc w:val="center"/>
            </w:pPr>
            <w:r>
              <w:rPr>
                <w:b w:val="false"/>
                <w:bCs w:val="false"/>
                <w:sz w:val="18"/>
                <w:szCs w:val="18"/>
              </w:rPr>
              <w:t xml:space="preserve">1,075</w:t>
            </w:r>
          </w:p>
        </w:tc>
        <w:tc>
          <w:tcPr>
            <w:tcW w:type="pct" w:w="33%"/>
            <w:tcMar>
              <w:top w:type="dxa" w:w="30"/>
              <w:left w:type="dxa" w:w="60"/>
              <w:bottom w:type="dxa" w:w="30"/>
              <w:right w:type="dxa" w:w="60"/>
            </w:tcMar>
          </w:tcPr>
          <w:p>
            <w:pPr>
              <w:spacing w:after="0" w:line="240"/>
              <w:jc w:val="center"/>
            </w:pPr>
            <w:r>
              <w:rPr>
                <w:b w:val="false"/>
                <w:bCs w:val="false"/>
                <w:sz w:val="18"/>
                <w:szCs w:val="18"/>
              </w:rPr>
              <w:t xml:space="preserve">433.60</w:t>
            </w:r>
          </w:p>
        </w:tc>
      </w:tr>
    </w:tbl>
    <w:p>
      <w:pPr>
        <w:spacing w:after="120" w:line="276"/>
        <w:jc w:val="both"/>
      </w:pPr>
      <w:r>
        <w:t xml:space="preserve">Esta densidad de drenaje y el predominio de cauces de bajo orden fundamentan el establecimiento de franjas protectoras de vegetación ribereña en la clasificación de superficies (apartado 4.7) y orientan las medidas de protección del suelo y del recurso hídrico.</w:t>
      </w:r>
    </w:p>
    <w:p>
      <w:pPr>
        <w:pStyle w:val="Heading2"/>
      </w:pPr>
      <w:r>
        <w:t xml:space="preserve">4.8.6  Vegetación y uso del suelo</w:t>
      </w:r>
    </w:p>
    <w:p>
      <w:pPr>
        <w:spacing w:after="150" w:line="276"/>
        <w:jc w:val="both"/>
      </w:pPr>
      <w:r>
        <w:t xml:space="preserve">A nivel municipal, el bosque es la cobertura dominante con 57.4 %, seguido de la selva con 19 %, la agricultura con 15.5 % y el pastizal con 8.1 % (IIEG, 2018). El predio se localiza en la región Madrense de la Sierra Madre Occidental, donde se desarrollan el bosque de encino, el bosque de pino-encino y, en las barrancas y porciones cálido-secas, el bosque tropical caducifolio o selva baja caducifolia (González-Elizondo et al., 2012). Para la Sierra de Bolaños se han referido masas de pino-encino integradas por Pinus teocote, P. devoniana, P. oocarpa y P. herrerae, junto con Quercus potosina, Q. deserticola, Q. rugosa y Q. crassifolia, dato regional que respalda la presencia natural de las especies de pino consideradas para la restauración. En congruencia con el objetivo del Programa, la masa bajo manejo está dominada por especies del género Quercus.</w:t>
      </w:r>
    </w:p>
    <w:p>
      <w:pPr>
        <w:spacing w:after="160" w:line="276"/>
        <w:ind w:left="340"/>
        <w:jc w:val="both"/>
      </w:pPr>
      <w:r>
        <w:rPr>
          <w:b/>
          <w:bCs/>
          <w:i/>
          <w:iCs/>
        </w:rPr>
        <w:t xml:space="preserve">Pendiente a nivel de predio. </w:t>
      </w:r>
      <w:r>
        <w:rPr>
          <w:i/>
          <w:iCs/>
        </w:rPr>
        <w:t xml:space="preserve">Los tipos de vegetación presentes en el predio y su superficie se obtendrán de la carta de uso de suelo y vegetación INEGI (serie vigente) intersectada con el polígono, y se contrastarán con el inventario forestal de campo (apartado 4.9).</w:t>
      </w:r>
    </w:p>
    <w:p>
      <w:pPr>
        <w:pStyle w:val="Heading2"/>
      </w:pPr>
      <w:r>
        <w:t xml:space="preserve">4.8.7  Flora y fauna</w:t>
      </w:r>
    </w:p>
    <w:p>
      <w:pPr>
        <w:spacing w:after="150" w:line="276"/>
        <w:jc w:val="both"/>
      </w:pPr>
      <w:r>
        <w:t xml:space="preserve">La flora del predio se inscribe en los bosques templados de encino y pino-encino de la región Madrense, con dominancia del género Quercus, acompañado de especies de Pinus, así como de un estrato arbustivo y herbáceo asociado. La fauna de la región comprende mamíferos como el venado cola blanca, el conejo, la ardilla, el zorrillo, el mapache y el tejón, además de aves y reptiles propios de los bosques de pino-encino del occidente y norte de Jalisco.</w:t>
      </w:r>
    </w:p>
    <w:p>
      <w:pPr>
        <w:spacing w:after="160" w:line="276"/>
        <w:ind w:left="340"/>
        <w:jc w:val="both"/>
      </w:pPr>
      <w:r>
        <w:rPr>
          <w:b/>
          <w:bCs/>
          <w:i/>
          <w:iCs/>
        </w:rPr>
        <w:t xml:space="preserve">Pendiente a nivel de predio. </w:t>
      </w:r>
      <w:r>
        <w:rPr>
          <w:i/>
          <w:iCs/>
        </w:rPr>
        <w:t xml:space="preserve">La lista de flora y fauna dominantes del predio, con sus nombres científicos, se integrará a partir del inventario forestal y de las observaciones de campo, complementada con registros de CONABIO y del SNIB para la zona. Esta sección se considera preliminar hasta contar con esos datos.</w:t>
      </w:r>
    </w:p>
    <w:p>
      <w:pPr>
        <w:pStyle w:val="Heading2"/>
      </w:pPr>
      <w:r>
        <w:t xml:space="preserve">4.8.8  Especies en riesgo (NOM-059-SEMARNAT) y CITES</w:t>
      </w:r>
    </w:p>
    <w:p>
      <w:pPr>
        <w:spacing w:after="150" w:line="276"/>
        <w:jc w:val="both"/>
      </w:pPr>
      <w:r>
        <w:t xml:space="preserve">La identificación de las especies de flora y fauna del predio que se encuentren en alguna categoría de riesgo conforme a la NOM-059-SEMARNAT, o listadas en los apéndices de la CITES, se realizará cruzando el inventario de campo y los registros regionales con dichos instrumentos. En bosques de pino-encino del centro-norte de México es común la presencia de reptiles bajo protección especial, como serpientes del género Crotalus, lo que orienta la verificación en campo.</w:t>
      </w:r>
    </w:p>
    <w:p>
      <w:pPr>
        <w:spacing w:after="160" w:line="276"/>
        <w:ind w:left="340"/>
        <w:jc w:val="both"/>
      </w:pPr>
      <w:r>
        <w:rPr>
          <w:b/>
          <w:bCs/>
          <w:i/>
          <w:iCs/>
        </w:rPr>
        <w:t xml:space="preserve">Pendiente a nivel de predio. </w:t>
      </w:r>
      <w:r>
        <w:rPr>
          <w:i/>
          <w:iCs/>
        </w:rPr>
        <w:t xml:space="preserve">El listado definitivo de especies en riesgo (NOM-059) y CITES presentes en el predio, con su categoría, se integrará a partir del inventario y las observaciones de campo cruzados con los instrumentos vigentes.</w:t>
      </w:r>
    </w:p>
    <w:p>
      <w:pPr>
        <w:pStyle w:val="Heading2"/>
      </w:pPr>
      <w:r>
        <w:t xml:space="preserve">4.8.9  Servicios ambientales</w:t>
      </w:r>
    </w:p>
    <w:p>
      <w:pPr>
        <w:spacing w:after="150" w:line="276"/>
        <w:jc w:val="both"/>
      </w:pPr>
      <w:r>
        <w:t xml:space="preserve">El ecosistema forestal del predio provee servicios ambientales de regulación hídrica y recarga, dada la densa red de drenaje descrita; de retención y formación de suelo en un relieve de fuerte pendiente; de almacenamiento de carbono en la biomasa forestal; y de hábitat para la biodiversidad regional. Las posibles afectaciones del aprovechamiento sobre estos servicios, y las medidas para prevenirlas y mitigarlas, se desarrollan en el apartado 4.16; su valoración cuantitativa se incorporará al concluir el estudio dasométrico.</w:t>
      </w:r>
    </w:p>
    <w:p>
      <w:pPr>
        <w:pStyle w:val="Heading2"/>
      </w:pPr>
      <w:r>
        <w:t xml:space="preserve">Fuentes consultadas</w:t>
      </w:r>
    </w:p>
    <w:p>
      <w:pPr>
        <w:spacing w:after="60" w:line="276"/>
        <w:jc w:val="both"/>
      </w:pPr>
      <w:r>
        <w:t xml:space="preserve">IIEG (2018). Chimaltitán. Diagnóstico del municipio. Instituto de Información Estadística y Geográfica del Estado de Jalisco, con base en cartografía de Geología y Edafología 1:50,000 y Uso de Suelo y Vegetación de INEGI, y Clima de CONABIO.</w:t>
      </w:r>
    </w:p>
    <w:p>
      <w:pPr>
        <w:spacing w:after="60" w:line="276"/>
        <w:jc w:val="both"/>
      </w:pPr>
      <w:r>
        <w:t xml:space="preserve">CONAGUA y CEA Jalisco. Regiones, cuencas y subcuencas hidrológicas (Región Hidrológica 12 Lerma-Santiago; cuenca RH12-K Bolaños).</w:t>
      </w:r>
    </w:p>
    <w:p>
      <w:pPr>
        <w:spacing w:after="60" w:line="276"/>
        <w:jc w:val="both"/>
      </w:pPr>
      <w:r>
        <w:t xml:space="preserve">González-Elizondo, M. S. et al. (2012). Vegetación de la Sierra Madre Occidental, México: una síntesis. Acta Botánica Mexicana.</w:t>
      </w:r>
    </w:p>
    <w:p>
      <w:pPr>
        <w:spacing w:after="0" w:line="276"/>
        <w:jc w:val="both"/>
      </w:pPr>
      <w:r>
        <w:t xml:space="preserve">Análisis propio de las capas vectoriales del predio (polígono comunal y red hidrográfica), EPSG:32613.</w:t>
      </w:r>
    </w:p>
    <w:p>
      <w:pPr>
        <w:pBdr>
          <w:top w:val="single" w:color="000000" w:sz="4" w:space="6"/>
        </w:pBdr>
        <w:spacing w:after="0" w:before="300"/>
      </w:pPr>
      <w:r>
        <w:rPr>
          <w:b/>
          <w:bCs/>
        </w:rPr>
        <w:t xml:space="preserve">Fundamento. </w:t>
      </w:r>
      <w:r>
        <w:rPr>
          <w:sz w:val="20"/>
          <w:szCs w:val="20"/>
        </w:rPr>
        <w:t xml:space="preserve">El presente apartado se elabora con base en la NOM-152-SEMARNAT-2023 y demás disposiciones aplicables en materia forestal.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4"/>
      </w:pBdr>
      <w:spacing w:before="60"/>
      <w:jc w:val="center"/>
    </w:pPr>
    <w:r>
      <w:rPr>
        <w:color w:val="000000"/>
        <w:sz w:val="16"/>
        <w:szCs w:val="16"/>
      </w:rPr>
      <w:t xml:space="preserve">Chimaltitán, Jalisco   |   Pág. </w:t>
    </w:r>
    <w:r>
      <w:rPr>
        <w:color w:val="00000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spacing w:after="60"/>
      <w:jc w:val="right"/>
    </w:pPr>
    <w:r>
      <w:rPr>
        <w:color w:val="000000"/>
        <w:sz w:val="16"/>
        <w:szCs w:val="16"/>
      </w:rPr>
      <w:t xml:space="preserve">Programa de Manejo Forestal — Comunidad Indígena San Juan de los Potreros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60"/>
      <w:jc w:val="center"/>
    </w:pPr>
    <w:rPr>
      <w:rFonts w:ascii="Arial" w:cs="Arial" w:eastAsia="Arial" w:hAnsi="Arial"/>
      <w:b/>
      <w:bCs/>
      <w:color w:val="000000"/>
      <w:sz w:val="30"/>
      <w:szCs w:val="30"/>
    </w:rPr>
  </w:style>
  <w:style w:type="paragraph" w:styleId="Heading2">
    <w:name w:val="Heading 2"/>
    <w:basedOn w:val="Normal"/>
    <w:next w:val="Normal"/>
    <w:qFormat/>
    <w:pPr>
      <w:spacing w:after="100" w:before="220"/>
    </w:pPr>
    <w:rPr>
      <w:rFonts w:ascii="Arial" w:cs="Arial" w:eastAsia="Arial" w:hAnsi="Arial"/>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2026-06-11T01:27:53.972Z</dcterms:created>
  <dcterms:modified xsi:type="dcterms:W3CDTF">2026-06-11T01:27:53.988Z</dcterms:modified>
</cp:coreProperties>
</file>

<file path=docProps/custom.xml><?xml version="1.0" encoding="utf-8"?>
<Properties xmlns="http://schemas.openxmlformats.org/officeDocument/2006/custom-properties" xmlns:vt="http://schemas.openxmlformats.org/officeDocument/2006/docPropsVTypes"/>
</file>