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4.2  OBJETIVOS GENERALES Y ESPECÍFICOS</w:t>
      </w:r>
    </w:p>
    <w:p>
      <w:pPr>
        <w:spacing w:after="160" w:line="276"/>
        <w:jc w:val="both"/>
      </w:pPr>
      <w:r>
        <w:t xml:space="preserve">El presente apartado establece los objetivos generales y específicos del Programa de Manejo Forestal de la Comunidad Indígena de San Juan de los Potreros, municipio de Chimaltitán, Jalisco, núcleo agrario inscrito en el Registro Agrario Nacional con clave 14031001 y una superficie comunal de 16,126.72 hectáreas. El aprovechamiento solicitado es de recursos forestales maderables del género Quercus, bajo un sistema silvícola de bosque irregular, y constituye el primer aprovechamiento forestal autorizado en el predio, con un ciclo de corta de diez años comprendido entre 2027 y 2036. Los objetivos se formulan en función del bosque meta que persigue el Programa.</w:t>
      </w:r>
    </w:p>
    <w:p>
      <w:pPr>
        <w:pStyle w:val="Heading2"/>
      </w:pPr>
      <w:r>
        <w:t xml:space="preserve">4.2.1  Objetivo general</w:t>
      </w:r>
    </w:p>
    <w:p>
      <w:pPr>
        <w:spacing w:after="160" w:line="276"/>
        <w:jc w:val="both"/>
      </w:pPr>
      <w:r>
        <w:t xml:space="preserve">Aprovechar de manera sustentable los recursos forestales maderables del género Quercus presentes en el predio, mediante un sistema silvícola para bosque irregular que asegure la persistencia del recurso, la continuidad de la cobertura forestal y la provisión de los bienes y servicios ambientales asociados.</w:t>
      </w:r>
    </w:p>
    <w:p>
      <w:pPr>
        <w:pStyle w:val="Heading2"/>
      </w:pPr>
      <w:r>
        <w:t xml:space="preserve">Bosque meta</w:t>
      </w:r>
    </w:p>
    <w:p>
      <w:pPr>
        <w:spacing w:after="160" w:line="276"/>
        <w:jc w:val="both"/>
      </w:pPr>
      <w:r>
        <w:t xml:space="preserve">Se entiende como bosque meta la condición futura del área forestal que se busca alcanzar como resultado de las acciones de manejo. Para este predio, el bosque meta es una masa forestal irregular, de estructura incoetánea, con arbolado de distintas edades y categorías diamétricas, dominada por especies del género Quercus, que conserve su capacidad de regeneración natural y mantenga la diversidad biológica, el suelo y el régimen hídrico, y que incorpore de manera progresiva a condición productiva o de conservación las superficies afectadas por la pudrición radical asociada a Phytophthora cinnamomi. Los atributos cuantitativos del bosque meta, es decir la estructura objetivo, las densidades y las existencias deseables por categoría diamétrica, se definirán una vez concluidos el estudio dasométrico del apartado 4.9 y la justificación del sistema silvícola del apartado 4.11.</w:t>
      </w:r>
    </w:p>
    <w:p>
      <w:pPr>
        <w:pStyle w:val="Heading2"/>
      </w:pPr>
      <w:r>
        <w:t xml:space="preserve">4.2.2  Objetivos específicos</w:t>
      </w:r>
    </w:p>
    <w:p>
      <w:pPr>
        <w:spacing w:after="130" w:line="276"/>
        <w:ind w:left="567" w:hanging="397"/>
        <w:jc w:val="both"/>
      </w:pPr>
      <w:r>
        <w:t xml:space="preserve">a)	</w:t>
      </w:r>
      <w:r>
        <w:t xml:space="preserve">Producir de manera sostenida los volúmenes de cosecha de arbolado del género Quercus, manteniendo los bienes y servicios asociados al ecosistema forestal.</w:t>
      </w:r>
    </w:p>
    <w:p>
      <w:pPr>
        <w:spacing w:after="130" w:line="276"/>
        <w:ind w:left="567" w:hanging="397"/>
        <w:jc w:val="both"/>
      </w:pPr>
      <w:r>
        <w:t xml:space="preserve">b)	</w:t>
      </w:r>
      <w:r>
        <w:t xml:space="preserve">Extraer los productos del aprovechamiento con el mínimo impacto al ecosistema y la máxima contribución al desarrollo social y económico de la comunidad.</w:t>
      </w:r>
    </w:p>
    <w:p>
      <w:pPr>
        <w:spacing w:after="130" w:line="276"/>
        <w:ind w:left="567" w:hanging="397"/>
        <w:jc w:val="both"/>
      </w:pPr>
      <w:r>
        <w:t xml:space="preserve">c)	</w:t>
      </w:r>
      <w:r>
        <w:t xml:space="preserve">Conservar las especies de flora y fauna silvestre y la calidad del hábitat, mitigando los impactos derivados del aprovechamiento.</w:t>
      </w:r>
    </w:p>
    <w:p>
      <w:pPr>
        <w:spacing w:after="130" w:line="276"/>
        <w:ind w:left="567" w:hanging="397"/>
        <w:jc w:val="both"/>
      </w:pPr>
      <w:r>
        <w:t xml:space="preserve">d)	</w:t>
      </w:r>
      <w:r>
        <w:t xml:space="preserve">Restaurar, mediante saneamiento y reforestación, las superficies afectadas por la pudrición radical asociada a Phytophthora cinnamomi, así como las áreas con baja densidad o procesos de degradación, empleando especies forestales nativas presentes en el predio y promoviendo, en los rodales de encino más dañados, su reconversión con especies del género Pinus presentes en la comunidad, principalmente Pinus lumholtzii, Pinus oocarpa y Pinus devoniana, cuya tolerancia al patógeno se verifique previamente. La delimitación y cuantificación de estas superficies se presentan en el apartado 4.17.</w:t>
      </w:r>
    </w:p>
    <w:p>
      <w:pPr>
        <w:spacing w:after="130" w:line="276"/>
        <w:ind w:left="567" w:hanging="397"/>
        <w:jc w:val="both"/>
      </w:pPr>
      <w:r>
        <w:t xml:space="preserve">e)	</w:t>
      </w:r>
      <w:r>
        <w:t xml:space="preserve">Proteger el recurso forestal frente a incendios, plagas y enfermedades, con atención particular a la pudrición radical asociada a Phytophthora cinnamomi, así como frente al pastoreo no regulado y los aprovechamientos no autorizados.</w:t>
      </w:r>
    </w:p>
    <w:p>
      <w:pPr>
        <w:spacing w:after="130" w:line="276"/>
        <w:ind w:left="567" w:hanging="397"/>
        <w:jc w:val="both"/>
      </w:pPr>
      <w:r>
        <w:t xml:space="preserve">f)	</w:t>
      </w:r>
      <w:r>
        <w:t xml:space="preserve">Fortalecer la organización social, la capacitación y las capacidades de administración y de toma de decisiones de la comunidad para la gestión del manejo forestal comunitario, en congruencia con su carácter de comunidad indígena.</w:t>
      </w:r>
    </w:p>
    <w:p>
      <w:pPr>
        <w:spacing w:after="130" w:line="276"/>
        <w:ind w:left="567" w:hanging="397"/>
        <w:jc w:val="both"/>
      </w:pPr>
      <w:r>
        <w:t xml:space="preserve">g)	</w:t>
      </w:r>
      <w:r>
        <w:t xml:space="preserve">Incrementar los beneficios sociales y económicos del aprovechamiento en el ingreso, el empleo, las alternativas productivas y el valor agregado de los productos forestales de la comunidad.</w:t>
      </w:r>
    </w:p>
    <w:p>
      <w:pPr>
        <w:pStyle w:val="Heading2"/>
      </w:pPr>
      <w:r>
        <w:t xml:space="preserve">Condición fitosanitaria</w:t>
      </w:r>
    </w:p>
    <w:p>
      <w:pPr>
        <w:spacing w:after="160" w:line="276"/>
        <w:jc w:val="both"/>
      </w:pPr>
      <w:r>
        <w:t xml:space="preserve">La masa de encino presenta una condición fitosanitaria asociada al decaimiento del arbolado del género Quercus, atribuida al oomiceto Phytophthora cinnamomi, agente de pudrición radical y declinación en encinos, con incidencia principal sobre Quercus resinosa y Quercus magnoliifolia y, en general, sobre las especies de encino presentes. La cuantificación de la superficie afectada y las medidas de prevención, control, saneamiento y rehabilitación correspondientes se presentan en los apartados 4.15 y 4.17.</w:t>
      </w:r>
    </w:p>
    <w:p>
      <w:pPr>
        <w:pBdr>
          <w:top w:val="single" w:color="000000" w:sz="4" w:space="6"/>
        </w:pBdr>
        <w:spacing w:after="0" w:before="320"/>
      </w:pPr>
      <w:r>
        <w:rPr>
          <w:b/>
          <w:bCs/>
        </w:rPr>
        <w:t xml:space="preserve">Fundamento. </w:t>
      </w:r>
      <w:r>
        <w:rPr>
          <w:sz w:val="20"/>
          <w:szCs w:val="20"/>
        </w:rPr>
        <w:t xml:space="preserve">El presente apartado se elabora con base en la NOM-152-SEMARNAT-2023 y demás disposiciones aplicables en materia forestal.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before="60"/>
      <w:jc w:val="center"/>
    </w:pPr>
    <w:r>
      <w:rPr>
        <w:color w:val="000000"/>
        <w:sz w:val="16"/>
        <w:szCs w:val="16"/>
      </w:rPr>
      <w:t xml:space="preserve">Chimaltitán, Jalisco   |   Pág. </w:t>
    </w:r>
    <w:r>
      <w:rPr>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60"/>
      <w:jc w:val="right"/>
    </w:pPr>
    <w:r>
      <w:rPr>
        <w:color w:val="000000"/>
        <w:sz w:val="16"/>
        <w:szCs w:val="16"/>
      </w:rPr>
      <w:t xml:space="preserve">Programa de Manejo Forestal — Comunidad Indígena San Juan de los Potreros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jc w:val="center"/>
      <w:outlineLvl w:val="0"/>
    </w:pPr>
    <w:rPr>
      <w:rFonts w:ascii="Arial" w:cs="Arial" w:eastAsia="Arial" w:hAnsi="Arial"/>
      <w:b/>
      <w:bCs/>
      <w:color w:val="000000"/>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2026-06-11T00:42:02.921Z</dcterms:created>
  <dcterms:modified xsi:type="dcterms:W3CDTF">2026-06-11T00:42:02.934Z</dcterms:modified>
</cp:coreProperties>
</file>

<file path=docProps/custom.xml><?xml version="1.0" encoding="utf-8"?>
<Properties xmlns="http://schemas.openxmlformats.org/officeDocument/2006/custom-properties" xmlns:vt="http://schemas.openxmlformats.org/officeDocument/2006/docPropsVTypes"/>
</file>