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4DE5AE" w14:textId="77777777" w:rsidR="00955E1C" w:rsidRPr="00B20947" w:rsidRDefault="00955E1C" w:rsidP="00313E91">
      <w:pPr>
        <w:spacing w:line="360" w:lineRule="auto"/>
        <w:rPr>
          <w:rFonts w:ascii="Times New Roman" w:hAnsi="Times New Roman" w:cs="Times New Roman"/>
          <w:color w:val="000000" w:themeColor="text1"/>
        </w:rPr>
      </w:pPr>
    </w:p>
    <w:p w14:paraId="257147B6" w14:textId="77777777" w:rsidR="00955E1C" w:rsidRPr="00B20947" w:rsidRDefault="00810D0E" w:rsidP="00313E91">
      <w:pPr>
        <w:spacing w:after="80" w:line="360" w:lineRule="auto"/>
        <w:jc w:val="right"/>
        <w:rPr>
          <w:rFonts w:ascii="Times New Roman" w:hAnsi="Times New Roman" w:cs="Times New Roman"/>
          <w:color w:val="000000" w:themeColor="text1"/>
        </w:rPr>
      </w:pPr>
      <w:r w:rsidRPr="00B20947">
        <w:rPr>
          <w:rFonts w:ascii="Times New Roman" w:hAnsi="Times New Roman" w:cs="Times New Roman"/>
          <w:color w:val="000000" w:themeColor="text1"/>
        </w:rPr>
        <w:t>Kathmandu, Nepal</w:t>
      </w:r>
    </w:p>
    <w:p w14:paraId="05D8E291" w14:textId="3A26009C" w:rsidR="00955E1C" w:rsidRPr="00B20947" w:rsidRDefault="00B20947" w:rsidP="00313E91">
      <w:pPr>
        <w:spacing w:after="320" w:line="360" w:lineRule="auto"/>
        <w:jc w:val="right"/>
        <w:rPr>
          <w:rFonts w:ascii="Times New Roman" w:hAnsi="Times New Roman" w:cs="Times New Roman"/>
          <w:color w:val="000000" w:themeColor="text1"/>
        </w:rPr>
      </w:pPr>
      <w:r w:rsidRPr="00B20947">
        <w:rPr>
          <w:rFonts w:ascii="Times New Roman" w:hAnsi="Times New Roman" w:cs="Times New Roman"/>
          <w:color w:val="000000" w:themeColor="text1"/>
          <w:lang w:val="en-US"/>
        </w:rPr>
        <w:t>May 1</w:t>
      </w:r>
      <w:r w:rsidR="00810D0E" w:rsidRPr="00B20947">
        <w:rPr>
          <w:rFonts w:ascii="Times New Roman" w:hAnsi="Times New Roman" w:cs="Times New Roman"/>
          <w:color w:val="000000" w:themeColor="text1"/>
        </w:rPr>
        <w:t>, 2026</w:t>
      </w:r>
    </w:p>
    <w:p w14:paraId="6C789928" w14:textId="77777777" w:rsidR="00955E1C" w:rsidRPr="00B20947" w:rsidRDefault="00810D0E" w:rsidP="00313E91">
      <w:pPr>
        <w:spacing w:after="80"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rPr>
        <w:t>To the Hackathon Evaluation Committee,</w:t>
      </w:r>
    </w:p>
    <w:p w14:paraId="6998947B" w14:textId="77777777" w:rsidR="00955E1C" w:rsidRPr="00B20947" w:rsidRDefault="00810D0E" w:rsidP="00313E91">
      <w:pPr>
        <w:spacing w:after="160"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Track B — Security &amp; Fraud</w:t>
      </w:r>
    </w:p>
    <w:p w14:paraId="1D8523C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We are pleased to present this research paper titled "Agentic Fraud Detection Framework: A Multi-Agent Machine Learning System for Real-Time Transaction Verification," submitted in partial fulfillment of the Track B hackathon requirements on Security and F</w:t>
      </w:r>
      <w:r w:rsidRPr="00B20947">
        <w:rPr>
          <w:rFonts w:ascii="Times New Roman" w:hAnsi="Times New Roman" w:cs="Times New Roman"/>
          <w:color w:val="000000" w:themeColor="text1"/>
        </w:rPr>
        <w:t>raud.</w:t>
      </w:r>
    </w:p>
    <w:p w14:paraId="17B95A4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Digital payment fraud represents one of the most rapidly evolving threats in the Nepalese financial ecosystem. As platforms such as eSewa, Khalti, and IME Pay expand their user bases into semi-urban and rural communities, the fraud surface widens cor</w:t>
      </w:r>
      <w:r w:rsidRPr="00B20947">
        <w:rPr>
          <w:rFonts w:ascii="Times New Roman" w:hAnsi="Times New Roman" w:cs="Times New Roman"/>
          <w:color w:val="000000" w:themeColor="text1"/>
        </w:rPr>
        <w:t>respondingly. Existing rule-based and single-model fraud detection systems struggle to adapt to adversarial behavior, suffer from elevated false-positive rates that erode user trust, and lack the contextual reasoning necessary to handle the diversity of tr</w:t>
      </w:r>
      <w:r w:rsidRPr="00B20947">
        <w:rPr>
          <w:rFonts w:ascii="Times New Roman" w:hAnsi="Times New Roman" w:cs="Times New Roman"/>
          <w:color w:val="000000" w:themeColor="text1"/>
        </w:rPr>
        <w:t>ansaction patterns across demographic groups.</w:t>
      </w:r>
    </w:p>
    <w:p w14:paraId="3CC88A3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This paper introduces an Agentic Fraud Detection Framework (AFDF) that addresses these shortcomings through a coordinated pipeline of specialized machine-learning agents — each targeting a distinct fraud signal</w:t>
      </w:r>
      <w:r w:rsidRPr="00B20947">
        <w:rPr>
          <w:rFonts w:ascii="Times New Roman" w:hAnsi="Times New Roman" w:cs="Times New Roman"/>
          <w:color w:val="000000" w:themeColor="text1"/>
        </w:rPr>
        <w:t xml:space="preserve"> — whose outputs are synthesized by a context-aware orchestrator. The framework incorporates a novel dual-path OTP interlock protocol specifically engineered to resist SIM-swap attacks, a context-weighted synthesis strategy that adapts model influence base</w:t>
      </w:r>
      <w:r w:rsidRPr="00B20947">
        <w:rPr>
          <w:rFonts w:ascii="Times New Roman" w:hAnsi="Times New Roman" w:cs="Times New Roman"/>
          <w:color w:val="000000" w:themeColor="text1"/>
        </w:rPr>
        <w:t>d on transaction type, and a progressive behavioral profiling approach that mitigates the cold-start problem inherent to per-user models.</w:t>
      </w:r>
    </w:p>
    <w:p w14:paraId="746A491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dataset used for experimentation is the IEEE-CIS Fraud Detection dataset (Kaggle, 2019), supplemented with synthet</w:t>
      </w:r>
      <w:r w:rsidRPr="00B20947">
        <w:rPr>
          <w:rFonts w:ascii="Times New Roman" w:hAnsi="Times New Roman" w:cs="Times New Roman"/>
          <w:color w:val="000000" w:themeColor="text1"/>
        </w:rPr>
        <w:t>ic transaction traces modeled on eSewa merchant categories and Nepalese time-zone patterns. All dataset sources are fully cited within the paper.</w:t>
      </w:r>
    </w:p>
    <w:p w14:paraId="2C823E7D"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We believe this framework offers a meaningful and production-viable contribution to financial security researc</w:t>
      </w:r>
      <w:r w:rsidRPr="00B20947">
        <w:rPr>
          <w:rFonts w:ascii="Times New Roman" w:hAnsi="Times New Roman" w:cs="Times New Roman"/>
          <w:color w:val="000000" w:themeColor="text1"/>
        </w:rPr>
        <w:t>h, and we welcome any questions or clarifications from the evaluation panel.</w:t>
      </w:r>
    </w:p>
    <w:p w14:paraId="1BA3FA22" w14:textId="77777777" w:rsidR="00955E1C" w:rsidRPr="00B20947" w:rsidRDefault="00955E1C" w:rsidP="00313E91">
      <w:pPr>
        <w:spacing w:line="360" w:lineRule="auto"/>
        <w:rPr>
          <w:rFonts w:ascii="Times New Roman" w:hAnsi="Times New Roman" w:cs="Times New Roman"/>
          <w:color w:val="000000" w:themeColor="text1"/>
        </w:rPr>
      </w:pPr>
    </w:p>
    <w:p w14:paraId="60F95E73" w14:textId="118659CF" w:rsidR="00955E1C"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Respectfully submitted</w:t>
      </w:r>
      <w:r w:rsidR="00313E91">
        <w:rPr>
          <w:rFonts w:ascii="Times New Roman" w:hAnsi="Times New Roman" w:cs="Times New Roman"/>
          <w:color w:val="000000" w:themeColor="text1"/>
          <w:lang w:val="en-US"/>
        </w:rPr>
        <w:t xml:space="preserve"> by</w:t>
      </w:r>
      <w:r w:rsidRPr="00B20947">
        <w:rPr>
          <w:rFonts w:ascii="Times New Roman" w:hAnsi="Times New Roman" w:cs="Times New Roman"/>
          <w:color w:val="000000" w:themeColor="text1"/>
        </w:rPr>
        <w:t>,</w:t>
      </w:r>
    </w:p>
    <w:p w14:paraId="6A300FB2" w14:textId="77777777" w:rsidR="00313E91" w:rsidRPr="00B20947" w:rsidRDefault="00313E91" w:rsidP="00313E91">
      <w:pPr>
        <w:spacing w:before="80" w:after="120" w:line="360" w:lineRule="auto"/>
        <w:jc w:val="both"/>
        <w:rPr>
          <w:rFonts w:ascii="Times New Roman" w:hAnsi="Times New Roman" w:cs="Times New Roman"/>
          <w:color w:val="000000" w:themeColor="text1"/>
        </w:rPr>
      </w:pPr>
    </w:p>
    <w:p w14:paraId="59A94A4D" w14:textId="77777777" w:rsidR="00955E1C" w:rsidRPr="00B20947" w:rsidRDefault="00810D0E" w:rsidP="00313E91">
      <w:pPr>
        <w:spacing w:after="60"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4"/>
          <w:szCs w:val="24"/>
        </w:rPr>
        <w:t>Aashutosh Poudel</w:t>
      </w:r>
    </w:p>
    <w:p w14:paraId="48E7D68D" w14:textId="77777777" w:rsidR="00313E91"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Author and </w:t>
      </w:r>
      <w:r w:rsidR="00313E91" w:rsidRPr="00313E91">
        <w:rPr>
          <w:rFonts w:ascii="Times New Roman" w:hAnsi="Times New Roman" w:cs="Times New Roman"/>
          <w:color w:val="000000" w:themeColor="text1"/>
        </w:rPr>
        <w:t>Presenter</w:t>
      </w:r>
    </w:p>
    <w:p w14:paraId="4DF3F380" w14:textId="5FAE9DC7" w:rsidR="00313E91" w:rsidRPr="00313E91" w:rsidRDefault="00313E91" w:rsidP="00313E91">
      <w:pPr>
        <w:spacing w:before="80" w:after="120" w:line="360" w:lineRule="auto"/>
        <w:jc w:val="both"/>
        <w:rPr>
          <w:rFonts w:ascii="Times New Roman" w:hAnsi="Times New Roman" w:cs="Times New Roman"/>
          <w:color w:val="000000" w:themeColor="text1"/>
        </w:rPr>
      </w:pPr>
      <w:r w:rsidRPr="00313E91">
        <w:rPr>
          <w:rFonts w:ascii="Times New Roman" w:eastAsia="Times New Roman" w:hAnsi="Times New Roman" w:cs="Times New Roman"/>
          <w:i/>
          <w:iCs/>
          <w:sz w:val="24"/>
          <w:szCs w:val="24"/>
        </w:rPr>
        <w:lastRenderedPageBreak/>
        <w:t>On behalf of a team of five members</w:t>
      </w:r>
    </w:p>
    <w:p w14:paraId="22D159D5" w14:textId="77777777" w:rsidR="00313E91" w:rsidRPr="00313E91" w:rsidRDefault="00313E91" w:rsidP="00313E91">
      <w:pPr>
        <w:spacing w:before="100" w:beforeAutospacing="1" w:after="100" w:afterAutospacing="1" w:line="360" w:lineRule="auto"/>
        <w:rPr>
          <w:rFonts w:ascii="Times New Roman" w:eastAsia="Times New Roman" w:hAnsi="Times New Roman" w:cs="Times New Roman"/>
          <w:sz w:val="24"/>
          <w:szCs w:val="24"/>
        </w:rPr>
      </w:pPr>
      <w:r w:rsidRPr="00313E91">
        <w:rPr>
          <w:rFonts w:ascii="Times New Roman" w:eastAsia="Times New Roman" w:hAnsi="Times New Roman" w:cs="Times New Roman"/>
          <w:b/>
          <w:bCs/>
          <w:sz w:val="24"/>
          <w:szCs w:val="24"/>
        </w:rPr>
        <w:t>Team Members:</w:t>
      </w:r>
    </w:p>
    <w:p w14:paraId="546FFC2C" w14:textId="77777777" w:rsidR="00313E91" w:rsidRPr="00313E91" w:rsidRDefault="00313E91" w:rsidP="00313E9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313E91">
        <w:rPr>
          <w:rFonts w:ascii="Times New Roman" w:eastAsia="Times New Roman" w:hAnsi="Times New Roman" w:cs="Times New Roman"/>
          <w:sz w:val="24"/>
          <w:szCs w:val="24"/>
        </w:rPr>
        <w:t xml:space="preserve">Aashutosh Poudel </w:t>
      </w:r>
    </w:p>
    <w:p w14:paraId="6729FBE0" w14:textId="03343D76" w:rsidR="00313E91" w:rsidRPr="00313E91" w:rsidRDefault="00313E91" w:rsidP="00313E91">
      <w:pPr>
        <w:numPr>
          <w:ilvl w:val="0"/>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Anup Paudel</w:t>
      </w:r>
      <w:r w:rsidRPr="00313E91">
        <w:rPr>
          <w:rFonts w:ascii="Times New Roman" w:eastAsia="Times New Roman" w:hAnsi="Times New Roman" w:cs="Times New Roman"/>
          <w:sz w:val="24"/>
          <w:szCs w:val="24"/>
        </w:rPr>
        <w:t xml:space="preserve"> </w:t>
      </w:r>
    </w:p>
    <w:p w14:paraId="50B09CB0" w14:textId="2BE58E2B" w:rsidR="00313E91" w:rsidRPr="00313E91" w:rsidRDefault="00313E91" w:rsidP="00313E91">
      <w:pPr>
        <w:numPr>
          <w:ilvl w:val="0"/>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Alina S</w:t>
      </w:r>
      <w:r w:rsidRPr="00313E91">
        <w:rPr>
          <w:rFonts w:ascii="Times New Roman" w:eastAsia="Times New Roman" w:hAnsi="Times New Roman" w:cs="Times New Roman"/>
          <w:sz w:val="24"/>
          <w:szCs w:val="24"/>
          <w:lang w:val="en-US"/>
        </w:rPr>
        <w:t>hrestha</w:t>
      </w:r>
    </w:p>
    <w:p w14:paraId="2277DD63" w14:textId="619130D5" w:rsidR="00313E91" w:rsidRPr="00313E91" w:rsidRDefault="00313E91" w:rsidP="00313E91">
      <w:pPr>
        <w:numPr>
          <w:ilvl w:val="0"/>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Bibek Raut</w:t>
      </w:r>
      <w:r w:rsidRPr="00313E91">
        <w:rPr>
          <w:rFonts w:ascii="Times New Roman" w:eastAsia="Times New Roman" w:hAnsi="Times New Roman" w:cs="Times New Roman"/>
          <w:sz w:val="24"/>
          <w:szCs w:val="24"/>
        </w:rPr>
        <w:t xml:space="preserve"> </w:t>
      </w:r>
    </w:p>
    <w:p w14:paraId="4E9454B9" w14:textId="45D7FFD6" w:rsidR="00955E1C" w:rsidRPr="00313E91" w:rsidRDefault="00313E91" w:rsidP="00313E9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313E91">
        <w:rPr>
          <w:rFonts w:ascii="Times New Roman" w:eastAsia="Times New Roman" w:hAnsi="Times New Roman" w:cs="Times New Roman"/>
          <w:sz w:val="24"/>
          <w:szCs w:val="24"/>
        </w:rPr>
        <w:t>[Member Name 5]</w:t>
      </w:r>
    </w:p>
    <w:p w14:paraId="2B831480"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Track B — Security &amp; Fraud Submission</w:t>
      </w:r>
    </w:p>
    <w:p w14:paraId="24AE9668" w14:textId="01EA0EC7" w:rsidR="00313E91" w:rsidRDefault="00810D0E" w:rsidP="00313E91">
      <w:pPr>
        <w:rPr>
          <w:rFonts w:ascii="Times New Roman" w:eastAsia="Times New Roman" w:hAnsi="Times New Roman" w:cs="Times New Roman"/>
        </w:rPr>
      </w:pPr>
      <w:r w:rsidRPr="00313E91">
        <w:rPr>
          <w:rFonts w:ascii="Times New Roman" w:hAnsi="Times New Roman" w:cs="Times New Roman"/>
          <w:color w:val="000000" w:themeColor="text1"/>
        </w:rPr>
        <w:t xml:space="preserve">Email: </w:t>
      </w:r>
      <w:hyperlink r:id="rId7" w:history="1">
        <w:r w:rsidR="00313E91" w:rsidRPr="00976297">
          <w:rPr>
            <w:rStyle w:val="Hyperlink"/>
            <w:rFonts w:ascii="Times New Roman" w:eastAsia="Times New Roman" w:hAnsi="Times New Roman" w:cs="Times New Roman"/>
          </w:rPr>
          <w:t>aashutosh.poudel_bse2022@student.pu.edu.np</w:t>
        </w:r>
      </w:hyperlink>
    </w:p>
    <w:p w14:paraId="7E212F2E" w14:textId="77777777" w:rsidR="00313E91" w:rsidRPr="00313E91" w:rsidRDefault="00313E91" w:rsidP="00313E91">
      <w:pPr>
        <w:rPr>
          <w:rFonts w:ascii="Times New Roman" w:eastAsia="Times New Roman" w:hAnsi="Times New Roman" w:cs="Times New Roman"/>
        </w:rPr>
      </w:pPr>
    </w:p>
    <w:p w14:paraId="27120F9F" w14:textId="77777777" w:rsidR="00313E91" w:rsidRDefault="00313E91" w:rsidP="00313E91">
      <w:pPr>
        <w:spacing w:before="80" w:after="120" w:line="360" w:lineRule="auto"/>
        <w:jc w:val="both"/>
        <w:rPr>
          <w:rFonts w:ascii="Times New Roman" w:hAnsi="Times New Roman" w:cs="Times New Roman"/>
          <w:color w:val="000000" w:themeColor="text1"/>
        </w:rPr>
      </w:pPr>
    </w:p>
    <w:p w14:paraId="387F67F1" w14:textId="4D1B3020" w:rsidR="00313E91" w:rsidRPr="00B20947" w:rsidRDefault="00313E91" w:rsidP="00313E91">
      <w:pPr>
        <w:spacing w:before="80" w:after="120" w:line="360" w:lineRule="auto"/>
        <w:jc w:val="both"/>
        <w:rPr>
          <w:rFonts w:ascii="Times New Roman" w:hAnsi="Times New Roman" w:cs="Times New Roman"/>
          <w:color w:val="000000" w:themeColor="text1"/>
        </w:rPr>
        <w:sectPr w:rsidR="00313E91" w:rsidRPr="00B20947">
          <w:pgSz w:w="12240" w:h="15840"/>
          <w:pgMar w:top="1440" w:right="1440" w:bottom="1440" w:left="1440" w:header="708" w:footer="708" w:gutter="0"/>
          <w:cols w:space="720"/>
          <w:docGrid w:linePitch="360"/>
        </w:sectPr>
      </w:pPr>
    </w:p>
    <w:p w14:paraId="0AC358F4" w14:textId="77777777" w:rsidR="00955E1C" w:rsidRPr="00B20947" w:rsidRDefault="00955E1C" w:rsidP="00313E91">
      <w:pPr>
        <w:spacing w:line="360" w:lineRule="auto"/>
        <w:rPr>
          <w:rFonts w:ascii="Times New Roman" w:hAnsi="Times New Roman" w:cs="Times New Roman"/>
          <w:color w:val="000000" w:themeColor="text1"/>
        </w:rPr>
      </w:pPr>
    </w:p>
    <w:p w14:paraId="0338384D" w14:textId="77777777" w:rsidR="00955E1C" w:rsidRPr="00B20947" w:rsidRDefault="00810D0E" w:rsidP="00313E91">
      <w:pPr>
        <w:spacing w:after="200" w:line="360" w:lineRule="auto"/>
        <w:jc w:val="center"/>
        <w:rPr>
          <w:rFonts w:ascii="Times New Roman" w:hAnsi="Times New Roman" w:cs="Times New Roman"/>
          <w:color w:val="000000" w:themeColor="text1"/>
        </w:rPr>
      </w:pPr>
      <w:r w:rsidRPr="00B20947">
        <w:rPr>
          <w:rFonts w:ascii="Times New Roman" w:hAnsi="Times New Roman" w:cs="Times New Roman"/>
          <w:b/>
          <w:bCs/>
          <w:color w:val="000000" w:themeColor="text1"/>
          <w:sz w:val="18"/>
          <w:szCs w:val="18"/>
        </w:rPr>
        <w:t>TRACK B  —  SEC</w:t>
      </w:r>
      <w:r w:rsidRPr="00B20947">
        <w:rPr>
          <w:rFonts w:ascii="Times New Roman" w:hAnsi="Times New Roman" w:cs="Times New Roman"/>
          <w:b/>
          <w:bCs/>
          <w:color w:val="000000" w:themeColor="text1"/>
          <w:sz w:val="18"/>
          <w:szCs w:val="18"/>
        </w:rPr>
        <w:t>URITY &amp; FRAUD</w:t>
      </w:r>
    </w:p>
    <w:p w14:paraId="1ED4832B" w14:textId="77777777" w:rsidR="00955E1C" w:rsidRPr="00B20947" w:rsidRDefault="00810D0E" w:rsidP="00313E91">
      <w:pPr>
        <w:spacing w:after="40" w:line="360" w:lineRule="auto"/>
        <w:jc w:val="center"/>
        <w:rPr>
          <w:rFonts w:ascii="Times New Roman" w:hAnsi="Times New Roman" w:cs="Times New Roman"/>
          <w:color w:val="000000" w:themeColor="text1"/>
        </w:rPr>
      </w:pPr>
      <w:r w:rsidRPr="00B20947">
        <w:rPr>
          <w:rFonts w:ascii="Times New Roman" w:hAnsi="Times New Roman" w:cs="Times New Roman"/>
          <w:b/>
          <w:bCs/>
          <w:color w:val="000000" w:themeColor="text1"/>
          <w:sz w:val="48"/>
          <w:szCs w:val="48"/>
        </w:rPr>
        <w:t>Agentic Fraud Detection Framework</w:t>
      </w:r>
    </w:p>
    <w:p w14:paraId="59B8CE01" w14:textId="77777777" w:rsidR="00955E1C" w:rsidRPr="00B20947" w:rsidRDefault="00810D0E" w:rsidP="00313E91">
      <w:pPr>
        <w:spacing w:after="280" w:line="360" w:lineRule="auto"/>
        <w:jc w:val="center"/>
        <w:rPr>
          <w:rFonts w:ascii="Times New Roman" w:hAnsi="Times New Roman" w:cs="Times New Roman"/>
          <w:color w:val="000000" w:themeColor="text1"/>
        </w:rPr>
      </w:pPr>
      <w:r w:rsidRPr="00B20947">
        <w:rPr>
          <w:rFonts w:ascii="Times New Roman" w:hAnsi="Times New Roman" w:cs="Times New Roman"/>
          <w:i/>
          <w:iCs/>
          <w:color w:val="000000" w:themeColor="text1"/>
          <w:sz w:val="28"/>
          <w:szCs w:val="28"/>
        </w:rPr>
        <w:t>A Multi-Agent Machine Learning System for Real-Time Transaction Verification</w:t>
      </w:r>
    </w:p>
    <w:p w14:paraId="21C3F4DA" w14:textId="77777777" w:rsidR="00955E1C" w:rsidRPr="00B20947" w:rsidRDefault="00955E1C" w:rsidP="00313E91">
      <w:pPr>
        <w:pBdr>
          <w:bottom w:val="single" w:sz="6" w:space="1" w:color="1E40AF"/>
        </w:pBdr>
        <w:spacing w:before="80" w:after="80" w:line="360" w:lineRule="auto"/>
        <w:rPr>
          <w:rFonts w:ascii="Times New Roman" w:hAnsi="Times New Roman" w:cs="Times New Roman"/>
          <w:color w:val="000000" w:themeColor="text1"/>
        </w:rPr>
      </w:pPr>
    </w:p>
    <w:p w14:paraId="759505AA" w14:textId="77777777" w:rsidR="00955E1C" w:rsidRPr="00B20947" w:rsidRDefault="00955E1C" w:rsidP="00313E91">
      <w:pPr>
        <w:spacing w:line="360" w:lineRule="auto"/>
        <w:rPr>
          <w:rFonts w:ascii="Times New Roman" w:hAnsi="Times New Roman" w:cs="Times New Roman"/>
          <w:color w:val="000000" w:themeColor="text1"/>
        </w:rPr>
      </w:pPr>
    </w:p>
    <w:p w14:paraId="71074CFB" w14:textId="77777777" w:rsidR="00955E1C" w:rsidRPr="00B20947" w:rsidRDefault="00810D0E" w:rsidP="00313E91">
      <w:pPr>
        <w:spacing w:after="80" w:line="360" w:lineRule="auto"/>
        <w:jc w:val="center"/>
        <w:rPr>
          <w:rFonts w:ascii="Times New Roman" w:hAnsi="Times New Roman" w:cs="Times New Roman"/>
          <w:color w:val="000000" w:themeColor="text1"/>
        </w:rPr>
      </w:pPr>
      <w:r w:rsidRPr="00B20947">
        <w:rPr>
          <w:rFonts w:ascii="Times New Roman" w:hAnsi="Times New Roman" w:cs="Times New Roman"/>
          <w:b/>
          <w:bCs/>
          <w:color w:val="000000" w:themeColor="text1"/>
        </w:rPr>
        <w:t>Author</w:t>
      </w:r>
    </w:p>
    <w:p w14:paraId="40212DB3" w14:textId="3D286AD6" w:rsidR="00955E1C" w:rsidRDefault="00810D0E" w:rsidP="00313E91">
      <w:pPr>
        <w:spacing w:after="60" w:line="360" w:lineRule="auto"/>
        <w:jc w:val="center"/>
        <w:rPr>
          <w:rFonts w:ascii="Times New Roman" w:hAnsi="Times New Roman" w:cs="Times New Roman"/>
          <w:b/>
          <w:bCs/>
          <w:color w:val="000000" w:themeColor="text1"/>
          <w:sz w:val="26"/>
          <w:szCs w:val="26"/>
        </w:rPr>
      </w:pPr>
      <w:r w:rsidRPr="00B20947">
        <w:rPr>
          <w:rFonts w:ascii="Times New Roman" w:hAnsi="Times New Roman" w:cs="Times New Roman"/>
          <w:b/>
          <w:bCs/>
          <w:color w:val="000000" w:themeColor="text1"/>
          <w:sz w:val="26"/>
          <w:szCs w:val="26"/>
        </w:rPr>
        <w:t>Aashutosh Poudel</w:t>
      </w:r>
    </w:p>
    <w:p w14:paraId="52977320" w14:textId="4AC56CA0" w:rsidR="00313E91" w:rsidRDefault="00313E91" w:rsidP="00313E91">
      <w:pPr>
        <w:spacing w:after="60" w:line="360" w:lineRule="auto"/>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[Member 1]</w:t>
      </w:r>
    </w:p>
    <w:p w14:paraId="76C51DDE" w14:textId="5DAE5CAF" w:rsidR="00313E91" w:rsidRPr="00313E91" w:rsidRDefault="00313E91" w:rsidP="00313E91">
      <w:pPr>
        <w:spacing w:after="60" w:line="360" w:lineRule="auto"/>
        <w:jc w:val="center"/>
        <w:rPr>
          <w:rFonts w:ascii="Times New Roman" w:hAnsi="Times New Roman" w:cs="Times New Roman"/>
          <w:color w:val="000000" w:themeColor="text1"/>
          <w:lang w:val="en-US"/>
        </w:rPr>
      </w:pPr>
      <w:r>
        <w:rPr>
          <w:rFonts w:ascii="Times New Roman" w:hAnsi="Times New Roman" w:cs="Times New Roman"/>
          <w:b/>
          <w:bCs/>
          <w:color w:val="000000" w:themeColor="text1"/>
          <w:sz w:val="26"/>
          <w:szCs w:val="26"/>
          <w:lang w:val="en-US"/>
        </w:rPr>
        <w:t xml:space="preserve">[Member </w:t>
      </w:r>
      <w:r>
        <w:rPr>
          <w:rFonts w:ascii="Times New Roman" w:hAnsi="Times New Roman" w:cs="Times New Roman"/>
          <w:b/>
          <w:bCs/>
          <w:color w:val="000000" w:themeColor="text1"/>
          <w:sz w:val="26"/>
          <w:szCs w:val="26"/>
          <w:lang w:val="en-US"/>
        </w:rPr>
        <w:t>2</w:t>
      </w:r>
      <w:r>
        <w:rPr>
          <w:rFonts w:ascii="Times New Roman" w:hAnsi="Times New Roman" w:cs="Times New Roman"/>
          <w:b/>
          <w:bCs/>
          <w:color w:val="000000" w:themeColor="text1"/>
          <w:sz w:val="26"/>
          <w:szCs w:val="26"/>
          <w:lang w:val="en-US"/>
        </w:rPr>
        <w:t>]</w:t>
      </w:r>
    </w:p>
    <w:p w14:paraId="1761B956" w14:textId="1B0FE2CC" w:rsidR="00313E91" w:rsidRPr="00313E91" w:rsidRDefault="00313E91" w:rsidP="00313E91">
      <w:pPr>
        <w:spacing w:after="60" w:line="360" w:lineRule="auto"/>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[Member </w:t>
      </w:r>
      <w:r>
        <w:rPr>
          <w:rFonts w:ascii="Times New Roman" w:hAnsi="Times New Roman" w:cs="Times New Roman"/>
          <w:b/>
          <w:bCs/>
          <w:color w:val="000000" w:themeColor="text1"/>
          <w:sz w:val="26"/>
          <w:szCs w:val="26"/>
          <w:lang w:val="en-US"/>
        </w:rPr>
        <w:t>3</w:t>
      </w:r>
      <w:r>
        <w:rPr>
          <w:rFonts w:ascii="Times New Roman" w:hAnsi="Times New Roman" w:cs="Times New Roman"/>
          <w:b/>
          <w:bCs/>
          <w:color w:val="000000" w:themeColor="text1"/>
          <w:sz w:val="26"/>
          <w:szCs w:val="26"/>
          <w:lang w:val="en-US"/>
        </w:rPr>
        <w:t>]</w:t>
      </w:r>
    </w:p>
    <w:p w14:paraId="12E50387" w14:textId="351C74A6" w:rsidR="00313E91" w:rsidRPr="00313E91" w:rsidRDefault="00313E91" w:rsidP="00313E91">
      <w:pPr>
        <w:spacing w:after="60" w:line="360" w:lineRule="auto"/>
        <w:jc w:val="center"/>
        <w:rPr>
          <w:rFonts w:ascii="Times New Roman" w:hAnsi="Times New Roman" w:cs="Times New Roman"/>
          <w:color w:val="000000" w:themeColor="text1"/>
          <w:lang w:val="en-US"/>
        </w:rPr>
      </w:pPr>
      <w:r>
        <w:rPr>
          <w:rFonts w:ascii="Times New Roman" w:hAnsi="Times New Roman" w:cs="Times New Roman"/>
          <w:b/>
          <w:bCs/>
          <w:color w:val="000000" w:themeColor="text1"/>
          <w:sz w:val="26"/>
          <w:szCs w:val="26"/>
          <w:lang w:val="en-US"/>
        </w:rPr>
        <w:t xml:space="preserve">[Member </w:t>
      </w:r>
      <w:r>
        <w:rPr>
          <w:rFonts w:ascii="Times New Roman" w:hAnsi="Times New Roman" w:cs="Times New Roman"/>
          <w:b/>
          <w:bCs/>
          <w:color w:val="000000" w:themeColor="text1"/>
          <w:sz w:val="26"/>
          <w:szCs w:val="26"/>
          <w:lang w:val="en-US"/>
        </w:rPr>
        <w:t>4</w:t>
      </w:r>
      <w:r>
        <w:rPr>
          <w:rFonts w:ascii="Times New Roman" w:hAnsi="Times New Roman" w:cs="Times New Roman"/>
          <w:b/>
          <w:bCs/>
          <w:color w:val="000000" w:themeColor="text1"/>
          <w:sz w:val="26"/>
          <w:szCs w:val="26"/>
          <w:lang w:val="en-US"/>
        </w:rPr>
        <w:t>]</w:t>
      </w:r>
    </w:p>
    <w:p w14:paraId="53E2F0E3" w14:textId="77777777" w:rsidR="00955E1C" w:rsidRPr="00B20947" w:rsidRDefault="00955E1C" w:rsidP="00313E91">
      <w:pPr>
        <w:spacing w:line="360" w:lineRule="auto"/>
        <w:rPr>
          <w:rFonts w:ascii="Times New Roman" w:hAnsi="Times New Roman" w:cs="Times New Roman"/>
          <w:color w:val="000000" w:themeColor="text1"/>
        </w:rPr>
      </w:pPr>
    </w:p>
    <w:p w14:paraId="44400B88" w14:textId="77777777" w:rsidR="00955E1C" w:rsidRPr="00B20947" w:rsidRDefault="00810D0E" w:rsidP="00313E91">
      <w:pPr>
        <w:spacing w:after="60" w:line="360" w:lineRule="auto"/>
        <w:jc w:val="center"/>
        <w:rPr>
          <w:rFonts w:ascii="Times New Roman" w:hAnsi="Times New Roman" w:cs="Times New Roman"/>
          <w:color w:val="000000" w:themeColor="text1"/>
        </w:rPr>
      </w:pPr>
      <w:r w:rsidRPr="00B20947">
        <w:rPr>
          <w:rFonts w:ascii="Times New Roman" w:hAnsi="Times New Roman" w:cs="Times New Roman"/>
          <w:b/>
          <w:bCs/>
          <w:color w:val="000000" w:themeColor="text1"/>
        </w:rPr>
        <w:t>Dataset</w:t>
      </w:r>
    </w:p>
    <w:p w14:paraId="68073CCA" w14:textId="77777777" w:rsidR="00955E1C" w:rsidRPr="00B20947" w:rsidRDefault="00810D0E" w:rsidP="00313E91">
      <w:pPr>
        <w:spacing w:after="60" w:line="360" w:lineRule="auto"/>
        <w:jc w:val="center"/>
        <w:rPr>
          <w:rFonts w:ascii="Times New Roman" w:hAnsi="Times New Roman" w:cs="Times New Roman"/>
          <w:color w:val="000000" w:themeColor="text1"/>
        </w:rPr>
      </w:pPr>
      <w:r w:rsidRPr="00B20947">
        <w:rPr>
          <w:rFonts w:ascii="Times New Roman" w:hAnsi="Times New Roman" w:cs="Times New Roman"/>
          <w:color w:val="000000" w:themeColor="text1"/>
        </w:rPr>
        <w:t>IEEE-CIS Fraud Detection Dataset (Kaggle, 2019)</w:t>
      </w:r>
    </w:p>
    <w:p w14:paraId="78B41029" w14:textId="77777777" w:rsidR="00955E1C" w:rsidRPr="00B20947" w:rsidRDefault="00810D0E" w:rsidP="00313E91">
      <w:pPr>
        <w:spacing w:after="60" w:line="360" w:lineRule="auto"/>
        <w:jc w:val="center"/>
        <w:rPr>
          <w:rFonts w:ascii="Times New Roman" w:hAnsi="Times New Roman" w:cs="Times New Roman"/>
          <w:color w:val="000000" w:themeColor="text1"/>
        </w:rPr>
      </w:pPr>
      <w:r w:rsidRPr="00B20947">
        <w:rPr>
          <w:rFonts w:ascii="Times New Roman" w:hAnsi="Times New Roman" w:cs="Times New Roman"/>
          <w:i/>
          <w:iCs/>
          <w:color w:val="000000" w:themeColor="text1"/>
          <w:sz w:val="20"/>
          <w:szCs w:val="20"/>
        </w:rPr>
        <w:t>https://www.kaggle.com/c/ieee-fraud-detection</w:t>
      </w:r>
    </w:p>
    <w:p w14:paraId="2EDCDB9F" w14:textId="77777777" w:rsidR="00955E1C" w:rsidRPr="00B20947" w:rsidRDefault="00955E1C" w:rsidP="00313E91">
      <w:pPr>
        <w:spacing w:line="360" w:lineRule="auto"/>
        <w:rPr>
          <w:rFonts w:ascii="Times New Roman" w:hAnsi="Times New Roman" w:cs="Times New Roman"/>
          <w:color w:val="000000" w:themeColor="text1"/>
        </w:rPr>
      </w:pPr>
    </w:p>
    <w:p w14:paraId="69E23DCC" w14:textId="77777777" w:rsidR="00955E1C" w:rsidRPr="00B20947" w:rsidRDefault="00810D0E" w:rsidP="00313E91">
      <w:pPr>
        <w:spacing w:after="60" w:line="360" w:lineRule="auto"/>
        <w:jc w:val="center"/>
        <w:rPr>
          <w:rFonts w:ascii="Times New Roman" w:hAnsi="Times New Roman" w:cs="Times New Roman"/>
          <w:color w:val="000000" w:themeColor="text1"/>
        </w:rPr>
      </w:pPr>
      <w:r w:rsidRPr="00B20947">
        <w:rPr>
          <w:rFonts w:ascii="Times New Roman" w:hAnsi="Times New Roman" w:cs="Times New Roman"/>
          <w:b/>
          <w:bCs/>
          <w:color w:val="000000" w:themeColor="text1"/>
        </w:rPr>
        <w:t>Submission Track</w:t>
      </w:r>
    </w:p>
    <w:p w14:paraId="2769AF8D" w14:textId="77777777" w:rsidR="00955E1C" w:rsidRPr="00B20947" w:rsidRDefault="00810D0E" w:rsidP="00313E91">
      <w:pPr>
        <w:spacing w:after="60" w:line="360" w:lineRule="auto"/>
        <w:jc w:val="center"/>
        <w:rPr>
          <w:rFonts w:ascii="Times New Roman" w:hAnsi="Times New Roman" w:cs="Times New Roman"/>
          <w:color w:val="000000" w:themeColor="text1"/>
        </w:rPr>
      </w:pPr>
      <w:r w:rsidRPr="00B20947">
        <w:rPr>
          <w:rFonts w:ascii="Times New Roman" w:hAnsi="Times New Roman" w:cs="Times New Roman"/>
          <w:color w:val="000000" w:themeColor="text1"/>
        </w:rPr>
        <w:t>Track B — Security &amp; Fraud  |  Paper Format</w:t>
      </w:r>
    </w:p>
    <w:p w14:paraId="1C80720A"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br w:type="page"/>
      </w:r>
    </w:p>
    <w:p w14:paraId="06A3BDDB" w14:textId="77777777"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Abstract</w:t>
      </w:r>
    </w:p>
    <w:p w14:paraId="397615C2" w14:textId="77777777" w:rsidR="00955E1C" w:rsidRPr="00B20947" w:rsidRDefault="00810D0E" w:rsidP="00460A49">
      <w:pPr>
        <w:spacing w:before="80" w:after="120" w:line="360" w:lineRule="auto"/>
        <w:ind w:right="360"/>
        <w:jc w:val="both"/>
        <w:rPr>
          <w:rFonts w:ascii="Times New Roman" w:hAnsi="Times New Roman" w:cs="Times New Roman"/>
          <w:color w:val="000000" w:themeColor="text1"/>
        </w:rPr>
      </w:pPr>
      <w:r w:rsidRPr="00B20947">
        <w:rPr>
          <w:rFonts w:ascii="Times New Roman" w:hAnsi="Times New Roman" w:cs="Times New Roman"/>
          <w:color w:val="000000" w:themeColor="text1"/>
        </w:rPr>
        <w:t>Digital payment fraud in South Asian fintech ecosystems is escalating in both volume and sophistication, outpacing the detection capabi</w:t>
      </w:r>
      <w:r w:rsidRPr="00B20947">
        <w:rPr>
          <w:rFonts w:ascii="Times New Roman" w:hAnsi="Times New Roman" w:cs="Times New Roman"/>
          <w:color w:val="000000" w:themeColor="text1"/>
        </w:rPr>
        <w:t>lities of conventional rule-based and single-model systems. This paper presents the Agentic Fraud Detection Framework (AFDF), a coordinated multi-agent architecture in which specialized machine learning agents — each targeting a distinct fraud signal — col</w:t>
      </w:r>
      <w:r w:rsidRPr="00B20947">
        <w:rPr>
          <w:rFonts w:ascii="Times New Roman" w:hAnsi="Times New Roman" w:cs="Times New Roman"/>
          <w:color w:val="000000" w:themeColor="text1"/>
        </w:rPr>
        <w:t>laborate through a context-aware synthesis layer to produce real-time transaction verdicts with sub-800ms latency. The pipeline comprises four agents: a Velocity Agent employing sliding-window frequency analysis and Redis-backed counters, a Geo Agent combi</w:t>
      </w:r>
      <w:r w:rsidRPr="00B20947">
        <w:rPr>
          <w:rFonts w:ascii="Times New Roman" w:hAnsi="Times New Roman" w:cs="Times New Roman"/>
          <w:color w:val="000000" w:themeColor="text1"/>
        </w:rPr>
        <w:t>ning impossibility-of-travel heuristics with device-fingerprint matching, a Behavior Agent built on per-user LSTM models trained over historical transaction sequences, and a Graph Neural Network Agent that models account linkage and merchant relationship p</w:t>
      </w:r>
      <w:r w:rsidRPr="00B20947">
        <w:rPr>
          <w:rFonts w:ascii="Times New Roman" w:hAnsi="Times New Roman" w:cs="Times New Roman"/>
          <w:color w:val="000000" w:themeColor="text1"/>
        </w:rPr>
        <w:t>atterns using Neo4j. A Synthesis Agent performs context-weighted voting in which model influence is dynamically adjusted based on transaction type — P2P transfer, QR payment, or merchant POS — before routing suspicious transactions to a dual-path OTP inter</w:t>
      </w:r>
      <w:r w:rsidRPr="00B20947">
        <w:rPr>
          <w:rFonts w:ascii="Times New Roman" w:hAnsi="Times New Roman" w:cs="Times New Roman"/>
          <w:color w:val="000000" w:themeColor="text1"/>
        </w:rPr>
        <w:t>lock. The interlock requires independent confirmation over both email and SMS channels, and escalates to full account review when either channel fails, specifically to counter SIM-swap attacks. Cold-start handling for new users employs cohort-based behavio</w:t>
      </w:r>
      <w:r w:rsidRPr="00B20947">
        <w:rPr>
          <w:rFonts w:ascii="Times New Roman" w:hAnsi="Times New Roman" w:cs="Times New Roman"/>
          <w:color w:val="000000" w:themeColor="text1"/>
        </w:rPr>
        <w:t>ral priors derived from demographic clustering. The framework is evaluated on the IEEE-CIS Fraud Detection dataset (Kaggle, 2019) supplemented with synthetic Nepalese transaction traces. Experimental results demonstrate a fraud detection AUC of 0.972, a fa</w:t>
      </w:r>
      <w:r w:rsidRPr="00B20947">
        <w:rPr>
          <w:rFonts w:ascii="Times New Roman" w:hAnsi="Times New Roman" w:cs="Times New Roman"/>
          <w:color w:val="000000" w:themeColor="text1"/>
        </w:rPr>
        <w:t>lse-positive rate of 1.4%, and a mean end-to-end verdict latency of 610ms. The AFDF provides a principled, extensible foundation for real-time fraud detection in mobile payment environments.</w:t>
      </w:r>
    </w:p>
    <w:p w14:paraId="022D7AD0" w14:textId="77777777" w:rsidR="00955E1C" w:rsidRPr="00B20947" w:rsidRDefault="00955E1C" w:rsidP="00313E91">
      <w:pPr>
        <w:spacing w:line="360" w:lineRule="auto"/>
        <w:rPr>
          <w:rFonts w:ascii="Times New Roman" w:hAnsi="Times New Roman" w:cs="Times New Roman"/>
          <w:color w:val="000000" w:themeColor="text1"/>
        </w:rPr>
      </w:pPr>
    </w:p>
    <w:p w14:paraId="25CD2E0B" w14:textId="77777777" w:rsidR="00955E1C" w:rsidRPr="00B20947" w:rsidRDefault="00810D0E" w:rsidP="00460A49">
      <w:pPr>
        <w:spacing w:before="80" w:after="200" w:line="360" w:lineRule="auto"/>
        <w:ind w:right="360"/>
        <w:rPr>
          <w:rFonts w:ascii="Times New Roman" w:hAnsi="Times New Roman" w:cs="Times New Roman"/>
          <w:color w:val="000000" w:themeColor="text1"/>
        </w:rPr>
      </w:pPr>
      <w:r w:rsidRPr="00B20947">
        <w:rPr>
          <w:rFonts w:ascii="Times New Roman" w:hAnsi="Times New Roman" w:cs="Times New Roman"/>
          <w:b/>
          <w:bCs/>
          <w:color w:val="000000" w:themeColor="text1"/>
          <w:sz w:val="21"/>
          <w:szCs w:val="21"/>
        </w:rPr>
        <w:t xml:space="preserve">Keywords: </w:t>
      </w:r>
      <w:r w:rsidRPr="00B20947">
        <w:rPr>
          <w:rFonts w:ascii="Times New Roman" w:hAnsi="Times New Roman" w:cs="Times New Roman"/>
          <w:i/>
          <w:iCs/>
          <w:color w:val="000000" w:themeColor="text1"/>
          <w:sz w:val="21"/>
          <w:szCs w:val="21"/>
        </w:rPr>
        <w:t>fraud detection, multi-agent systems, LSTM, graph neural network, isolation forest, OTP authentication, fintech security, real-time ML, eSewa, SIM-swap attack</w:t>
      </w:r>
    </w:p>
    <w:p w14:paraId="7519A61C" w14:textId="77777777" w:rsidR="00460A49" w:rsidRDefault="00460A49" w:rsidP="00313E91">
      <w:pPr>
        <w:pStyle w:val="Heading1"/>
        <w:spacing w:line="360" w:lineRule="auto"/>
        <w:rPr>
          <w:rFonts w:ascii="Times New Roman" w:hAnsi="Times New Roman" w:cs="Times New Roman"/>
          <w:color w:val="000000" w:themeColor="text1"/>
        </w:rPr>
      </w:pPr>
    </w:p>
    <w:p w14:paraId="39636A05" w14:textId="77777777" w:rsidR="00460A49" w:rsidRDefault="00460A49" w:rsidP="00313E91">
      <w:pPr>
        <w:pStyle w:val="Heading1"/>
        <w:spacing w:line="360" w:lineRule="auto"/>
        <w:rPr>
          <w:rFonts w:ascii="Times New Roman" w:hAnsi="Times New Roman" w:cs="Times New Roman"/>
          <w:color w:val="000000" w:themeColor="text1"/>
        </w:rPr>
      </w:pPr>
    </w:p>
    <w:p w14:paraId="7A73B7DC" w14:textId="77777777" w:rsidR="00460A49" w:rsidRDefault="00460A49" w:rsidP="00313E91">
      <w:pPr>
        <w:pStyle w:val="Heading1"/>
        <w:spacing w:line="360" w:lineRule="auto"/>
        <w:rPr>
          <w:rFonts w:ascii="Times New Roman" w:hAnsi="Times New Roman" w:cs="Times New Roman"/>
          <w:color w:val="000000" w:themeColor="text1"/>
        </w:rPr>
      </w:pPr>
    </w:p>
    <w:p w14:paraId="6995E3DA" w14:textId="77777777" w:rsidR="00460A49" w:rsidRDefault="00460A49" w:rsidP="00313E91">
      <w:pPr>
        <w:pStyle w:val="Heading1"/>
        <w:spacing w:line="360" w:lineRule="auto"/>
        <w:rPr>
          <w:rFonts w:ascii="Times New Roman" w:hAnsi="Times New Roman" w:cs="Times New Roman"/>
          <w:color w:val="000000" w:themeColor="text1"/>
        </w:rPr>
      </w:pPr>
    </w:p>
    <w:p w14:paraId="2CDD25EE" w14:textId="77777777" w:rsidR="00460A49" w:rsidRDefault="00460A49" w:rsidP="00313E91">
      <w:pPr>
        <w:pStyle w:val="Heading1"/>
        <w:spacing w:line="360" w:lineRule="auto"/>
        <w:rPr>
          <w:rFonts w:ascii="Times New Roman" w:hAnsi="Times New Roman" w:cs="Times New Roman"/>
          <w:color w:val="000000" w:themeColor="text1"/>
        </w:rPr>
      </w:pPr>
    </w:p>
    <w:p w14:paraId="4B6C237B" w14:textId="3653186F"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1. Problem Description</w:t>
      </w:r>
    </w:p>
    <w:p w14:paraId="4442F0FB"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1.1 The Nepalese Digital Payment Landscape</w:t>
      </w:r>
    </w:p>
    <w:p w14:paraId="5723B389"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rapid adoption of mobile p</w:t>
      </w:r>
      <w:r w:rsidRPr="00B20947">
        <w:rPr>
          <w:rFonts w:ascii="Times New Roman" w:hAnsi="Times New Roman" w:cs="Times New Roman"/>
          <w:color w:val="000000" w:themeColor="text1"/>
        </w:rPr>
        <w:t>ayment platforms — eSewa, Khalti, IME Pay, and ConnectIPS — has fundamentally altered how Nepali consumers conduct financial transactions. As of 2024, eSewa alone reported over 20 million registered users, with daily transaction volumes exceeding NRs 2 bil</w:t>
      </w:r>
      <w:r w:rsidRPr="00B20947">
        <w:rPr>
          <w:rFonts w:ascii="Times New Roman" w:hAnsi="Times New Roman" w:cs="Times New Roman"/>
          <w:color w:val="000000" w:themeColor="text1"/>
        </w:rPr>
        <w:t>lion. This growth has been accompanied by a corresponding surge in fraudulent activity. The Nepal Rastra Bank's 2023 Financial Stability Report noted a 38% year-on-year increase in digital payment fraud cases, with losses predominantly concentrated in peer</w:t>
      </w:r>
      <w:r w:rsidRPr="00B20947">
        <w:rPr>
          <w:rFonts w:ascii="Times New Roman" w:hAnsi="Times New Roman" w:cs="Times New Roman"/>
          <w:color w:val="000000" w:themeColor="text1"/>
        </w:rPr>
        <w:t>-to-peer (P2P) transfers, QR-code merchant payments, and eSewa wallet top-up scams.</w:t>
      </w:r>
    </w:p>
    <w:p w14:paraId="0FAB6D4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demographics of affected users are revealing: a disproportionate share of victims are first-time digital wallet users in semi-urban districts, elderly users with limited digital literacy, and migrant remittance recipients — populations whose transactio</w:t>
      </w:r>
      <w:r w:rsidRPr="00B20947">
        <w:rPr>
          <w:rFonts w:ascii="Times New Roman" w:hAnsi="Times New Roman" w:cs="Times New Roman"/>
          <w:color w:val="000000" w:themeColor="text1"/>
        </w:rPr>
        <w:t>n patterns are highly irregular by conventional standards, making both fraud detection and false-positive avoidance especially challenging.</w:t>
      </w:r>
    </w:p>
    <w:p w14:paraId="3E8B3253"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1.2 Limitations of Existing Systems</w:t>
      </w:r>
    </w:p>
    <w:p w14:paraId="7D16809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Current fraud detection deployments in Nepal's payment ecosystem rely predominan</w:t>
      </w:r>
      <w:r w:rsidRPr="00B20947">
        <w:rPr>
          <w:rFonts w:ascii="Times New Roman" w:hAnsi="Times New Roman" w:cs="Times New Roman"/>
          <w:color w:val="000000" w:themeColor="text1"/>
        </w:rPr>
        <w:t>tly on static rule sets — threshold-based velocity checks (e.g., more than five transactions per hour triggers a flag), hard-coded geographic restrictions, and device blacklists. While operationally simple, these systems suffer from four well-documented st</w:t>
      </w:r>
      <w:r w:rsidRPr="00B20947">
        <w:rPr>
          <w:rFonts w:ascii="Times New Roman" w:hAnsi="Times New Roman" w:cs="Times New Roman"/>
          <w:color w:val="000000" w:themeColor="text1"/>
        </w:rPr>
        <w:t>ructural weaknesses:</w:t>
      </w:r>
    </w:p>
    <w:p w14:paraId="634F9337"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High false-positive rates: conservative thresholds that over-flag legitimate activity generate friction for honest users, particularly those with atypical but genuine patterns such as business owners or daily-wage workers receiving mul</w:t>
      </w:r>
      <w:r w:rsidRPr="00B20947">
        <w:rPr>
          <w:rFonts w:ascii="Times New Roman" w:hAnsi="Times New Roman" w:cs="Times New Roman"/>
          <w:color w:val="000000" w:themeColor="text1"/>
        </w:rPr>
        <w:t>tiple small payments.</w:t>
      </w:r>
    </w:p>
    <w:p w14:paraId="7ECFA315"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Low recall on novel attack vectors: rule sets are reactive by design. Fraudsters who observe and adapt to published or inferred rule boundaries — a practice known as threshold gaming — evade detection systematically.</w:t>
      </w:r>
    </w:p>
    <w:p w14:paraId="7EB0515D"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Absence of user-l</w:t>
      </w:r>
      <w:r w:rsidRPr="00B20947">
        <w:rPr>
          <w:rFonts w:ascii="Times New Roman" w:hAnsi="Times New Roman" w:cs="Times New Roman"/>
          <w:color w:val="000000" w:themeColor="text1"/>
        </w:rPr>
        <w:t>evel context: a transaction worth NRs 85,000 may be entirely routine for one user and highly anomalous for another. A global threshold applied uniformly conflates these cases.</w:t>
      </w:r>
    </w:p>
    <w:p w14:paraId="4D2E5CFD"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No adversarial-channel awareness: SMS OTP systems are compromised by SIM-swap at</w:t>
      </w:r>
      <w:r w:rsidRPr="00B20947">
        <w:rPr>
          <w:rFonts w:ascii="Times New Roman" w:hAnsi="Times New Roman" w:cs="Times New Roman"/>
          <w:color w:val="000000" w:themeColor="text1"/>
        </w:rPr>
        <w:t>tacks, in which an adversary convinces a mobile carrier to transfer a victim's number to an attacker-controlled SIM, neutralizing the entire SMS authentication layer.</w:t>
      </w:r>
    </w:p>
    <w:p w14:paraId="06B227A9"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1.3 The Motivating Scenario</w:t>
      </w:r>
    </w:p>
    <w:p w14:paraId="7BA8386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Consider the following real-world-inspired scenario that enca</w:t>
      </w:r>
      <w:r w:rsidRPr="00B20947">
        <w:rPr>
          <w:rFonts w:ascii="Times New Roman" w:hAnsi="Times New Roman" w:cs="Times New Roman"/>
          <w:color w:val="000000" w:themeColor="text1"/>
        </w:rPr>
        <w:t xml:space="preserve">psulates these limitations precisely. Sita, a Kathmandu schoolteacher, uses eSewa primarily for morning grocery payments between 7:00 AM and 9:00 </w:t>
      </w:r>
      <w:r w:rsidRPr="00B20947">
        <w:rPr>
          <w:rFonts w:ascii="Times New Roman" w:hAnsi="Times New Roman" w:cs="Times New Roman"/>
          <w:color w:val="000000" w:themeColor="text1"/>
        </w:rPr>
        <w:lastRenderedPageBreak/>
        <w:t xml:space="preserve">AM, averaging NRs 1,200 per transaction. At 2:14 AM on a Tuesday, her account initiates a NRs 85,000 transfer </w:t>
      </w:r>
      <w:r w:rsidRPr="00B20947">
        <w:rPr>
          <w:rFonts w:ascii="Times New Roman" w:hAnsi="Times New Roman" w:cs="Times New Roman"/>
          <w:color w:val="000000" w:themeColor="text1"/>
        </w:rPr>
        <w:t>to an unfamiliar merchant. Simultaneously, the transaction originates from a device not previously associated with her account, and the IP geolocation resolves to Dharan — while Sita's registered device is active on a Kathmandu cellular tower.</w:t>
      </w:r>
    </w:p>
    <w:p w14:paraId="7F881E6E"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A rule-based</w:t>
      </w:r>
      <w:r w:rsidRPr="00B20947">
        <w:rPr>
          <w:rFonts w:ascii="Times New Roman" w:hAnsi="Times New Roman" w:cs="Times New Roman"/>
          <w:color w:val="000000" w:themeColor="text1"/>
        </w:rPr>
        <w:t xml:space="preserve"> system might catch one signal: the unfamiliar device, or perhaps the unusual hour. But it cannot synthesize all three signals — velocity context, geographic impossibility, and behavioral deviation — into a coherent verdict. More critically, if the attacke</w:t>
      </w:r>
      <w:r w:rsidRPr="00B20947">
        <w:rPr>
          <w:rFonts w:ascii="Times New Roman" w:hAnsi="Times New Roman" w:cs="Times New Roman"/>
          <w:color w:val="000000" w:themeColor="text1"/>
        </w:rPr>
        <w:t>r has already performed a SIM swap, sending a standard SMS OTP to verify the transaction would be futile. The framework proposed in this paper is designed specifically to handle this class of compound, multi-signal fraud events.</w:t>
      </w:r>
    </w:p>
    <w:p w14:paraId="24045487"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1.4 Problem Formulation</w:t>
      </w:r>
    </w:p>
    <w:p w14:paraId="552B8E8A"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For</w:t>
      </w:r>
      <w:r w:rsidRPr="00B20947">
        <w:rPr>
          <w:rFonts w:ascii="Times New Roman" w:hAnsi="Times New Roman" w:cs="Times New Roman"/>
          <w:color w:val="000000" w:themeColor="text1"/>
        </w:rPr>
        <w:t>mally, we define the fraud detection problem as a binary classification task over transaction records. Let T = {t1, t2, ..., tn} denote a stream of financial transactions, where each transaction ti is characterized by a feature vector xi comprising transac</w:t>
      </w:r>
      <w:r w:rsidRPr="00B20947">
        <w:rPr>
          <w:rFonts w:ascii="Times New Roman" w:hAnsi="Times New Roman" w:cs="Times New Roman"/>
          <w:color w:val="000000" w:themeColor="text1"/>
        </w:rPr>
        <w:t>tion metadata (amount, timestamp, merchant ID, device fingerprint, IP geolocation), account history (user behavioral profile, historical velocity), and relational features (graph-based account linkages). The objective is to learn a function f: X → {0, 1} t</w:t>
      </w:r>
      <w:r w:rsidRPr="00B20947">
        <w:rPr>
          <w:rFonts w:ascii="Times New Roman" w:hAnsi="Times New Roman" w:cs="Times New Roman"/>
          <w:color w:val="000000" w:themeColor="text1"/>
        </w:rPr>
        <w:t>hat maps each transaction to a binary fraud label, subject to the following constraints:</w:t>
      </w:r>
    </w:p>
    <w:p w14:paraId="030839A0"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Latency constraint: the verdict must be produced within 800ms to permit real-time blocking before settlement finalization.</w:t>
      </w:r>
    </w:p>
    <w:p w14:paraId="6D975B68"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False-positive constraint: the false-positiv</w:t>
      </w:r>
      <w:r w:rsidRPr="00B20947">
        <w:rPr>
          <w:rFonts w:ascii="Times New Roman" w:hAnsi="Times New Roman" w:cs="Times New Roman"/>
          <w:color w:val="000000" w:themeColor="text1"/>
        </w:rPr>
        <w:t>e rate must remain below 2% to avoid unacceptable user friction.</w:t>
      </w:r>
    </w:p>
    <w:p w14:paraId="629A8C08"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Adversarial robustness: the system must maintain detection efficacy against adaptive adversaries who modify attack patterns in response to inferred detection logic.</w:t>
      </w:r>
    </w:p>
    <w:p w14:paraId="5DFB0B5C"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Cold-start feasibility: th</w:t>
      </w:r>
      <w:r w:rsidRPr="00B20947">
        <w:rPr>
          <w:rFonts w:ascii="Times New Roman" w:hAnsi="Times New Roman" w:cs="Times New Roman"/>
          <w:color w:val="000000" w:themeColor="text1"/>
        </w:rPr>
        <w:t>e system must produce meaningful verdicts for users with fewer than ten historical transactions.</w:t>
      </w:r>
    </w:p>
    <w:p w14:paraId="02EFBD50" w14:textId="77777777"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 Related Works</w:t>
      </w:r>
    </w:p>
    <w:p w14:paraId="6F0EBD02"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2.1 Classical Anomaly Detection</w:t>
      </w:r>
    </w:p>
    <w:p w14:paraId="2375EF1D"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foundational literature on fraud detection draws heavily from statistical anomaly detection. Aleskerov et al. (1997) introduced CARDWATCH, one of the earliest neural-network-based credit card fraud detection systems, establishing that learned behaviora</w:t>
      </w:r>
      <w:r w:rsidRPr="00B20947">
        <w:rPr>
          <w:rFonts w:ascii="Times New Roman" w:hAnsi="Times New Roman" w:cs="Times New Roman"/>
          <w:color w:val="000000" w:themeColor="text1"/>
        </w:rPr>
        <w:t xml:space="preserve">l profiles outperform static rules for high-volume transaction streams [1]. Subsequent work by Bolton and Hand (2002) formalized the peer-group analysis paradigm, in </w:t>
      </w:r>
      <w:r w:rsidRPr="00B20947">
        <w:rPr>
          <w:rFonts w:ascii="Times New Roman" w:hAnsi="Times New Roman" w:cs="Times New Roman"/>
          <w:color w:val="000000" w:themeColor="text1"/>
        </w:rPr>
        <w:lastRenderedPageBreak/>
        <w:t>which a user's transaction profile is compared against a cohort of similar users rather th</w:t>
      </w:r>
      <w:r w:rsidRPr="00B20947">
        <w:rPr>
          <w:rFonts w:ascii="Times New Roman" w:hAnsi="Times New Roman" w:cs="Times New Roman"/>
          <w:color w:val="000000" w:themeColor="text1"/>
        </w:rPr>
        <w:t>an a global baseline — a concept that directly informs the cold-start mitigation strategy described in Section 5.4 of this paper [2].</w:t>
      </w:r>
    </w:p>
    <w:p w14:paraId="7E62E8E6"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Liu et al. (2008) introduced the Isolation Forest algorithm, which achieves anomaly detection by exploiting the property t</w:t>
      </w:r>
      <w:r w:rsidRPr="00B20947">
        <w:rPr>
          <w:rFonts w:ascii="Times New Roman" w:hAnsi="Times New Roman" w:cs="Times New Roman"/>
          <w:color w:val="000000" w:themeColor="text1"/>
        </w:rPr>
        <w:t>hat anomalies are few and different, making them more susceptible to random recursive partitioning [3]. Isolation Forest is particularly attractive for fraud detection because it scales linearly with dataset size and requires no assumption about the data d</w:t>
      </w:r>
      <w:r w:rsidRPr="00B20947">
        <w:rPr>
          <w:rFonts w:ascii="Times New Roman" w:hAnsi="Times New Roman" w:cs="Times New Roman"/>
          <w:color w:val="000000" w:themeColor="text1"/>
        </w:rPr>
        <w:t>istribution — both critical properties for high-throughput payment systems. In the AFDF, Isolation Forest is deployed as the primary anomaly scoring mechanism within the Behavior Agent.</w:t>
      </w:r>
    </w:p>
    <w:p w14:paraId="338DB6B1"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2.2 Sequence Modeling for User Behavior</w:t>
      </w:r>
    </w:p>
    <w:p w14:paraId="5EA676F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application of recurrent n</w:t>
      </w:r>
      <w:r w:rsidRPr="00B20947">
        <w:rPr>
          <w:rFonts w:ascii="Times New Roman" w:hAnsi="Times New Roman" w:cs="Times New Roman"/>
          <w:color w:val="000000" w:themeColor="text1"/>
        </w:rPr>
        <w:t>eural networks to transaction sequence modeling was pioneered by Jurgovsky et al. (2018), who demonstrated that LSTM architectures capturing sequential transaction context achieve significantly higher AUC scores than models treating transactions as indepen</w:t>
      </w:r>
      <w:r w:rsidRPr="00B20947">
        <w:rPr>
          <w:rFonts w:ascii="Times New Roman" w:hAnsi="Times New Roman" w:cs="Times New Roman"/>
          <w:color w:val="000000" w:themeColor="text1"/>
        </w:rPr>
        <w:t>dent events [4]. This result motivates the AFDF's Behavior Agent design, which uses per-user LSTM models to score deviations from individual behavioral baselines rather than population-level anomalies.</w:t>
      </w:r>
    </w:p>
    <w:p w14:paraId="332E092B"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More recently, Roy and Sun (2021) proposed the FraudBE</w:t>
      </w:r>
      <w:r w:rsidRPr="00B20947">
        <w:rPr>
          <w:rFonts w:ascii="Times New Roman" w:hAnsi="Times New Roman" w:cs="Times New Roman"/>
          <w:color w:val="000000" w:themeColor="text1"/>
        </w:rPr>
        <w:t>RT architecture, adapting transformer-based self-attention to transaction sequence modeling and demonstrating further improvements in detecting subtle, distributed fraud patterns [5]. While AFDF does not currently employ transformer architectures due to in</w:t>
      </w:r>
      <w:r w:rsidRPr="00B20947">
        <w:rPr>
          <w:rFonts w:ascii="Times New Roman" w:hAnsi="Times New Roman" w:cs="Times New Roman"/>
          <w:color w:val="000000" w:themeColor="text1"/>
        </w:rPr>
        <w:t>ference latency constraints (transformer forward passes are generally slower than LSTMs for short sequences), the FraudBERT approach is identified as a direct candidate for integration in future iterations.</w:t>
      </w:r>
    </w:p>
    <w:p w14:paraId="082275A4"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2.3 Graph-Based Fraud Detection</w:t>
      </w:r>
    </w:p>
    <w:p w14:paraId="2D07BED7"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recognition t</w:t>
      </w:r>
      <w:r w:rsidRPr="00B20947">
        <w:rPr>
          <w:rFonts w:ascii="Times New Roman" w:hAnsi="Times New Roman" w:cs="Times New Roman"/>
          <w:color w:val="000000" w:themeColor="text1"/>
        </w:rPr>
        <w:t>hat fraud frequently involves coordinated networks of accounts — mule accounts, merchant rings, and organized synthetic-identity syndicates — motivates graph-based approaches. Wang et al. (2019) introduced GraphSAGE-based fraud detection on large-scale tra</w:t>
      </w:r>
      <w:r w:rsidRPr="00B20947">
        <w:rPr>
          <w:rFonts w:ascii="Times New Roman" w:hAnsi="Times New Roman" w:cs="Times New Roman"/>
          <w:color w:val="000000" w:themeColor="text1"/>
        </w:rPr>
        <w:t xml:space="preserve">nsaction graphs, demonstrating that message-passing neural networks capture structural fraud signals invisible to individual-transaction models [6]. The AFDF's GNN Agent is directly informed by this body of work, employing a Neo4j graph store to represent </w:t>
      </w:r>
      <w:r w:rsidRPr="00B20947">
        <w:rPr>
          <w:rFonts w:ascii="Times New Roman" w:hAnsi="Times New Roman" w:cs="Times New Roman"/>
          <w:color w:val="000000" w:themeColor="text1"/>
        </w:rPr>
        <w:t>account-to-merchant and account-to-account transaction relationships, and a Graph Attention Network (GAT) variant to score nodes and edges for anomalous structural patterns.</w:t>
      </w:r>
    </w:p>
    <w:p w14:paraId="1D3102AB"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Amazon's DGFRAUD framework (Liu et al., 2020) extended graph fraud detection to dy</w:t>
      </w:r>
      <w:r w:rsidRPr="00B20947">
        <w:rPr>
          <w:rFonts w:ascii="Times New Roman" w:hAnsi="Times New Roman" w:cs="Times New Roman"/>
          <w:color w:val="000000" w:themeColor="text1"/>
        </w:rPr>
        <w:t>namic graphs that evolve over time, addressing the stationarity assumption that undermines static graph models in live payment systems [7]. The temporal edge-weighting scheme in AFDF's GNN Agent borrows from this formulation.</w:t>
      </w:r>
    </w:p>
    <w:p w14:paraId="7C401550"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2.4 Multi-Agent and Ensemble A</w:t>
      </w:r>
      <w:r w:rsidRPr="00B20947">
        <w:rPr>
          <w:rFonts w:ascii="Times New Roman" w:hAnsi="Times New Roman" w:cs="Times New Roman"/>
          <w:color w:val="000000" w:themeColor="text1"/>
        </w:rPr>
        <w:t>pproaches</w:t>
      </w:r>
    </w:p>
    <w:p w14:paraId="417E8AEF"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The ensemble paradigm for fraud detection has a well-established empirical foundation. Bhattacharyya et al. (2011) showed that Random Forest ensembles consistently outperform single-classifier systems on imbalanced fraud datasets [8]. The AFDF ex</w:t>
      </w:r>
      <w:r w:rsidRPr="00B20947">
        <w:rPr>
          <w:rFonts w:ascii="Times New Roman" w:hAnsi="Times New Roman" w:cs="Times New Roman"/>
          <w:color w:val="000000" w:themeColor="text1"/>
        </w:rPr>
        <w:t>tends the ensemble concept to a heterogeneous multi-agent architecture in which each agent brings not only a different model architecture but a different feature domain — velocity, geography, behavior, and graph topology — reducing correlation between agen</w:t>
      </w:r>
      <w:r w:rsidRPr="00B20947">
        <w:rPr>
          <w:rFonts w:ascii="Times New Roman" w:hAnsi="Times New Roman" w:cs="Times New Roman"/>
          <w:color w:val="000000" w:themeColor="text1"/>
        </w:rPr>
        <w:t>t errors and improving ensemble robustness.</w:t>
      </w:r>
    </w:p>
    <w:p w14:paraId="2EA4C9D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notion of context-sensitive agent weighting builds on the work of Bahnsen et al. (2016), who introduced example-dependent cost-sensitive learning for credit card fraud, demonstrating that weighting model cont</w:t>
      </w:r>
      <w:r w:rsidRPr="00B20947">
        <w:rPr>
          <w:rFonts w:ascii="Times New Roman" w:hAnsi="Times New Roman" w:cs="Times New Roman"/>
          <w:color w:val="000000" w:themeColor="text1"/>
        </w:rPr>
        <w:t>ributions by transaction context (amount, merchant category, time of day) reduces the expected financial loss compared to uniform weighting [9]. AFDF's Synthesis Agent formalizes this insight into a dynamic weight matrix indexed by transaction type.</w:t>
      </w:r>
    </w:p>
    <w:p w14:paraId="02DF2C59"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2.5 Au</w:t>
      </w:r>
      <w:r w:rsidRPr="00B20947">
        <w:rPr>
          <w:rFonts w:ascii="Times New Roman" w:hAnsi="Times New Roman" w:cs="Times New Roman"/>
          <w:color w:val="000000" w:themeColor="text1"/>
        </w:rPr>
        <w:t>thentication and Channel Security</w:t>
      </w:r>
    </w:p>
    <w:p w14:paraId="46B5088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vulnerability of SMS OTP to SIM-swap attacks has been extensively documented. Jover and Lackey (2020) provided a comprehensive taxonomy of SIM-swap attack variants and measured their effectiveness against major US carr</w:t>
      </w:r>
      <w:r w:rsidRPr="00B20947">
        <w:rPr>
          <w:rFonts w:ascii="Times New Roman" w:hAnsi="Times New Roman" w:cs="Times New Roman"/>
          <w:color w:val="000000" w:themeColor="text1"/>
        </w:rPr>
        <w:t>iers, finding that social engineering success rates against carrier customer service representatives exceeded 60% in targeted attacks [10]. The dual-path OTP interlock proposed in AFDF directly addresses this vulnerability by requiring independent confirma</w:t>
      </w:r>
      <w:r w:rsidRPr="00B20947">
        <w:rPr>
          <w:rFonts w:ascii="Times New Roman" w:hAnsi="Times New Roman" w:cs="Times New Roman"/>
          <w:color w:val="000000" w:themeColor="text1"/>
        </w:rPr>
        <w:t>tion across heterogeneous channels — email and SMS — so that the compromise of a single channel is insufficient to authorize a transaction.</w:t>
      </w:r>
    </w:p>
    <w:p w14:paraId="2A142338"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Multi-factor authentication resilience frameworks proposed by NIST Special Publication 800-63B (Grassi et al., 2017)</w:t>
      </w:r>
      <w:r w:rsidRPr="00B20947">
        <w:rPr>
          <w:rFonts w:ascii="Times New Roman" w:hAnsi="Times New Roman" w:cs="Times New Roman"/>
          <w:color w:val="000000" w:themeColor="text1"/>
        </w:rPr>
        <w:t xml:space="preserve"> inform the escalation policy in AFDF's OTP Interlock, particularly the guidance on binding authenticators to physical hardware where possible and escalating to out-of-band verification when soft authenticators fail [11].</w:t>
      </w:r>
    </w:p>
    <w:p w14:paraId="6197EA77" w14:textId="77777777"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 Proposed Methodology</w:t>
      </w:r>
    </w:p>
    <w:p w14:paraId="65E39B69"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3.1 Architectural Overview</w:t>
      </w:r>
    </w:p>
    <w:p w14:paraId="67CDF085"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Agentic Fraud Detection Framework (AFDF) is structured as a sequential-parallel hybrid pipeline. When a transaction event arrives, four specialized agents execute in parallel, each operating on a distinct feature subset. Thei</w:t>
      </w:r>
      <w:r w:rsidRPr="00B20947">
        <w:rPr>
          <w:rFonts w:ascii="Times New Roman" w:hAnsi="Times New Roman" w:cs="Times New Roman"/>
          <w:color w:val="000000" w:themeColor="text1"/>
        </w:rPr>
        <w:t>r outputs — scalar fraud scores accompanied by confidence intervals — are forwarded to the Synthesis Agent, which applies a context-weighted voting mechanism to produce a unified verdict. The verdict is one of three categories: PASS (transaction proceeds n</w:t>
      </w:r>
      <w:r w:rsidRPr="00B20947">
        <w:rPr>
          <w:rFonts w:ascii="Times New Roman" w:hAnsi="Times New Roman" w:cs="Times New Roman"/>
          <w:color w:val="000000" w:themeColor="text1"/>
        </w:rPr>
        <w:t>ormally), REVIEW (transaction held pending OTP verification), or BLOCK (transaction rejected and account flagged). The OTP Interlock is activated on REVIEW verdicts.</w:t>
      </w:r>
    </w:p>
    <w:p w14:paraId="6291154D"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3.2 Velocity Agent</w:t>
      </w:r>
    </w:p>
    <w:p w14:paraId="72EB15E4"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Velocity Agent is responsible for detecting anomalous transaction f</w:t>
      </w:r>
      <w:r w:rsidRPr="00B20947">
        <w:rPr>
          <w:rFonts w:ascii="Times New Roman" w:hAnsi="Times New Roman" w:cs="Times New Roman"/>
          <w:color w:val="000000" w:themeColor="text1"/>
        </w:rPr>
        <w:t>requency patterns. It maintains a Redis-backed sliding-window counter for each (accountId, windowDuration) tuple, supporting window durations of 1 minute, 5 minutes, 1 hour, and 24 hours. For each incoming transaction, the agent queries all four windows an</w:t>
      </w:r>
      <w:r w:rsidRPr="00B20947">
        <w:rPr>
          <w:rFonts w:ascii="Times New Roman" w:hAnsi="Times New Roman" w:cs="Times New Roman"/>
          <w:color w:val="000000" w:themeColor="text1"/>
        </w:rPr>
        <w:t xml:space="preserve">d computes a frequency ratio — the ratio of observed count to the user's historical mean for that window duration — producing a normalized velocity score v </w:t>
      </w:r>
      <w:r w:rsidRPr="00B20947">
        <w:rPr>
          <w:rFonts w:ascii="Cambria Math" w:hAnsi="Cambria Math" w:cs="Cambria Math"/>
          <w:color w:val="000000" w:themeColor="text1"/>
        </w:rPr>
        <w:t>∈</w:t>
      </w:r>
      <w:r w:rsidRPr="00B20947">
        <w:rPr>
          <w:rFonts w:ascii="Times New Roman" w:hAnsi="Times New Roman" w:cs="Times New Roman"/>
          <w:color w:val="000000" w:themeColor="text1"/>
        </w:rPr>
        <w:t xml:space="preserve"> [0, 1].</w:t>
      </w:r>
    </w:p>
    <w:p w14:paraId="3FB3D3C0"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Beyond simple frequency, the agent implements a burst-pattern detector using an Exponentia</w:t>
      </w:r>
      <w:r w:rsidRPr="00B20947">
        <w:rPr>
          <w:rFonts w:ascii="Times New Roman" w:hAnsi="Times New Roman" w:cs="Times New Roman"/>
          <w:color w:val="000000" w:themeColor="text1"/>
        </w:rPr>
        <w:t>l Moving Average (EMA) over inter-transaction arrival times. A sudden compression of arrival intervals — characteristic of automated fraud scripts executing many small transactions before account lockout — produces a high burst score independent of absolut</w:t>
      </w:r>
      <w:r w:rsidRPr="00B20947">
        <w:rPr>
          <w:rFonts w:ascii="Times New Roman" w:hAnsi="Times New Roman" w:cs="Times New Roman"/>
          <w:color w:val="000000" w:themeColor="text1"/>
        </w:rPr>
        <w:t>e frequency. The final Velocity Agent output is a convex combination of the frequency ratio and burst score, weighted by the transaction amount (higher-value transactions weight the burst score more heavily).</w:t>
      </w:r>
    </w:p>
    <w:p w14:paraId="70CF3368"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use of Redis as the velocity cache is archi</w:t>
      </w:r>
      <w:r w:rsidRPr="00B20947">
        <w:rPr>
          <w:rFonts w:ascii="Times New Roman" w:hAnsi="Times New Roman" w:cs="Times New Roman"/>
          <w:color w:val="000000" w:themeColor="text1"/>
        </w:rPr>
        <w:t>tecturally significant: it provides sub-millisecond read/write latency for the sliding-window counters, ensuring the Velocity Agent contributes negligibly to the end-to-end latency budget. Lua scripting within Redis enables atomic increment-and-read operat</w:t>
      </w:r>
      <w:r w:rsidRPr="00B20947">
        <w:rPr>
          <w:rFonts w:ascii="Times New Roman" w:hAnsi="Times New Roman" w:cs="Times New Roman"/>
          <w:color w:val="000000" w:themeColor="text1"/>
        </w:rPr>
        <w:t>ions that eliminate race conditions in concurrent transaction processing.</w:t>
      </w:r>
    </w:p>
    <w:p w14:paraId="57F401A2"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3.3 Geo Agent</w:t>
      </w:r>
    </w:p>
    <w:p w14:paraId="46EF909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Geo Agent operates over two complementary signal types: geolocation plausibility and device fingerprint novelty. For geolocation analysis, each transaction is assoc</w:t>
      </w:r>
      <w:r w:rsidRPr="00B20947">
        <w:rPr>
          <w:rFonts w:ascii="Times New Roman" w:hAnsi="Times New Roman" w:cs="Times New Roman"/>
          <w:color w:val="000000" w:themeColor="text1"/>
        </w:rPr>
        <w:t>iated with an IP-derived latitude-longitude coordinate, which is compared against the user's last-known location. An impossibility-of-travel score is computed based on whether the implied travel velocity between the two points exceeds a configurable thresh</w:t>
      </w:r>
      <w:r w:rsidRPr="00B20947">
        <w:rPr>
          <w:rFonts w:ascii="Times New Roman" w:hAnsi="Times New Roman" w:cs="Times New Roman"/>
          <w:color w:val="000000" w:themeColor="text1"/>
        </w:rPr>
        <w:t>old (default: 800 km/h, representing commercial flight speed). A transaction from Kathmandu followed 20 minutes later by a transaction apparently originating in Singapore receives a maximum impossibility score.</w:t>
      </w:r>
    </w:p>
    <w:p w14:paraId="6F8A206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Device fingerprint analysis maintains a per-u</w:t>
      </w:r>
      <w:r w:rsidRPr="00B20947">
        <w:rPr>
          <w:rFonts w:ascii="Times New Roman" w:hAnsi="Times New Roman" w:cs="Times New Roman"/>
          <w:color w:val="000000" w:themeColor="text1"/>
        </w:rPr>
        <w:t>ser registry of previously observed device identifiers — a composite hash of User-Agent string, screen resolution, timezone offset, browser language, and WebGL renderer string — stored in Redis with a time-to-live that decays device trust over periods of i</w:t>
      </w:r>
      <w:r w:rsidRPr="00B20947">
        <w:rPr>
          <w:rFonts w:ascii="Times New Roman" w:hAnsi="Times New Roman" w:cs="Times New Roman"/>
          <w:color w:val="000000" w:themeColor="text1"/>
        </w:rPr>
        <w:t>nactivity. A transaction from a never-before-seen device fingerprint contributes a novelty score drawn from a Gaussian distribution fit to the user's historical device count, penalizing transactions from users who typically use a single device more strongl</w:t>
      </w:r>
      <w:r w:rsidRPr="00B20947">
        <w:rPr>
          <w:rFonts w:ascii="Times New Roman" w:hAnsi="Times New Roman" w:cs="Times New Roman"/>
          <w:color w:val="000000" w:themeColor="text1"/>
        </w:rPr>
        <w:t>y than those who routinely access their account from multiple devices.</w:t>
      </w:r>
    </w:p>
    <w:p w14:paraId="2109264C"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3.4 Behavior Agent</w:t>
      </w:r>
    </w:p>
    <w:p w14:paraId="770EEB3A"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The Behavior Agent is the most computationally intensive component in the pipeline. Its core is a per-user LSTM model trained on the user's transaction history, encoding each transaction as a 12-dimensional feature </w:t>
      </w:r>
      <w:r w:rsidRPr="00B20947">
        <w:rPr>
          <w:rFonts w:ascii="Times New Roman" w:hAnsi="Times New Roman" w:cs="Times New Roman"/>
          <w:color w:val="000000" w:themeColor="text1"/>
        </w:rPr>
        <w:lastRenderedPageBreak/>
        <w:t>vector: log-normalized transaction amount</w:t>
      </w:r>
      <w:r w:rsidRPr="00B20947">
        <w:rPr>
          <w:rFonts w:ascii="Times New Roman" w:hAnsi="Times New Roman" w:cs="Times New Roman"/>
          <w:color w:val="000000" w:themeColor="text1"/>
        </w:rPr>
        <w:t>, hour of day (cyclically encoded as sin and cos components), day of week (cyclically encoded), merchant category (one-hot over 15 categories), transaction type (P2P, QR, POS, top-up), and channel (mobile app, web, USSD). The LSTM produces a 64-dimensional</w:t>
      </w:r>
      <w:r w:rsidRPr="00B20947">
        <w:rPr>
          <w:rFonts w:ascii="Times New Roman" w:hAnsi="Times New Roman" w:cs="Times New Roman"/>
          <w:color w:val="000000" w:themeColor="text1"/>
        </w:rPr>
        <w:t xml:space="preserve"> hidden state representing the user's behavioral context at the time of the transaction.</w:t>
      </w:r>
    </w:p>
    <w:p w14:paraId="12630410"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A transaction's anomaly score is computed as the Mahalanobis distance between the current transaction's feature vector and the distribution of feature vectors predicte</w:t>
      </w:r>
      <w:r w:rsidRPr="00B20947">
        <w:rPr>
          <w:rFonts w:ascii="Times New Roman" w:hAnsi="Times New Roman" w:cs="Times New Roman"/>
          <w:color w:val="000000" w:themeColor="text1"/>
        </w:rPr>
        <w:t>d by the LSTM given the preceding context. A transaction that is consistent with the user's historical sequence — the same merchant category, same time-of-day window, similar amount — will lie close to the LSTM's prediction distribution and receive a low a</w:t>
      </w:r>
      <w:r w:rsidRPr="00B20947">
        <w:rPr>
          <w:rFonts w:ascii="Times New Roman" w:hAnsi="Times New Roman" w:cs="Times New Roman"/>
          <w:color w:val="000000" w:themeColor="text1"/>
        </w:rPr>
        <w:t>nomaly score. A transaction that violates multiple behavioral dimensions simultaneously receives a high score.</w:t>
      </w:r>
    </w:p>
    <w:p w14:paraId="7B9F942E"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Behavior Agent also maintains a secondary Isolation Forest model trained on each user's transaction history, which complements the LSTM by de</w:t>
      </w:r>
      <w:r w:rsidRPr="00B20947">
        <w:rPr>
          <w:rFonts w:ascii="Times New Roman" w:hAnsi="Times New Roman" w:cs="Times New Roman"/>
          <w:color w:val="000000" w:themeColor="text1"/>
        </w:rPr>
        <w:t>tecting global outliers (transactions anomalous in an absolute sense) rather than sequence anomalies. The final Behavior Agent score is the maximum of the LSTM sequence anomaly score and the Isolation Forest outlier score.</w:t>
      </w:r>
    </w:p>
    <w:p w14:paraId="340495A8"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3.5 GNN Agent</w:t>
      </w:r>
    </w:p>
    <w:p w14:paraId="2EEE2C1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Graph Neural Ne</w:t>
      </w:r>
      <w:r w:rsidRPr="00B20947">
        <w:rPr>
          <w:rFonts w:ascii="Times New Roman" w:hAnsi="Times New Roman" w:cs="Times New Roman"/>
          <w:color w:val="000000" w:themeColor="text1"/>
        </w:rPr>
        <w:t xml:space="preserve">twork Agent reasons over the relational structure of the transaction ecosystem. A bipartite transaction graph G = (V_A </w:t>
      </w:r>
      <w:r w:rsidRPr="00B20947">
        <w:rPr>
          <w:rFonts w:ascii="Cambria Math" w:hAnsi="Cambria Math" w:cs="Cambria Math"/>
          <w:color w:val="000000" w:themeColor="text1"/>
        </w:rPr>
        <w:t>∪</w:t>
      </w:r>
      <w:r w:rsidRPr="00B20947">
        <w:rPr>
          <w:rFonts w:ascii="Times New Roman" w:hAnsi="Times New Roman" w:cs="Times New Roman"/>
          <w:color w:val="000000" w:themeColor="text1"/>
        </w:rPr>
        <w:t xml:space="preserve"> V_M, E) is maintained in Neo4j, where V_A represents account nodes, V_M represents merchant nodes, and each edge e </w:t>
      </w:r>
      <w:r w:rsidRPr="00B20947">
        <w:rPr>
          <w:rFonts w:ascii="Cambria Math" w:hAnsi="Cambria Math" w:cs="Cambria Math"/>
          <w:color w:val="000000" w:themeColor="text1"/>
        </w:rPr>
        <w:t>∈</w:t>
      </w:r>
      <w:r w:rsidRPr="00B20947">
        <w:rPr>
          <w:rFonts w:ascii="Times New Roman" w:hAnsi="Times New Roman" w:cs="Times New Roman"/>
          <w:color w:val="000000" w:themeColor="text1"/>
        </w:rPr>
        <w:t xml:space="preserve"> E represents a tra</w:t>
      </w:r>
      <w:r w:rsidRPr="00B20947">
        <w:rPr>
          <w:rFonts w:ascii="Times New Roman" w:hAnsi="Times New Roman" w:cs="Times New Roman"/>
          <w:color w:val="000000" w:themeColor="text1"/>
        </w:rPr>
        <w:t>nsaction with edge attributes (amount, timestamp, fraud label for training transactions). The GNN Agent runs a Graph Attention Network (GAT) over the local neighborhood of the source account and destination merchant, producing node-level fraud scores.</w:t>
      </w:r>
    </w:p>
    <w:p w14:paraId="021D607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The </w:t>
      </w:r>
      <w:r w:rsidRPr="00B20947">
        <w:rPr>
          <w:rFonts w:ascii="Times New Roman" w:hAnsi="Times New Roman" w:cs="Times New Roman"/>
          <w:color w:val="000000" w:themeColor="text1"/>
        </w:rPr>
        <w:t>key insight motivating the GNN Agent is that fraud rings often share structural signatures invisible at the individual account level: multiple accounts suddenly transacting with the same previously-uncontacted merchant, star-topology patterns characteristi</w:t>
      </w:r>
      <w:r w:rsidRPr="00B20947">
        <w:rPr>
          <w:rFonts w:ascii="Times New Roman" w:hAnsi="Times New Roman" w:cs="Times New Roman"/>
          <w:color w:val="000000" w:themeColor="text1"/>
        </w:rPr>
        <w:t>c of mule account networks, and bipartite community structures inconsistent with organic usage. The GAT's attention mechanism weights neighbor contributions dynamically, allowing it to identify structurally anomalous patterns without requiring manual featu</w:t>
      </w:r>
      <w:r w:rsidRPr="00B20947">
        <w:rPr>
          <w:rFonts w:ascii="Times New Roman" w:hAnsi="Times New Roman" w:cs="Times New Roman"/>
          <w:color w:val="000000" w:themeColor="text1"/>
        </w:rPr>
        <w:t>re engineering of graph topology.</w:t>
      </w:r>
    </w:p>
    <w:p w14:paraId="3C09A7D7"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3.6 Synthesis Agent</w:t>
      </w:r>
    </w:p>
    <w:p w14:paraId="5978C650"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Synthesis Agent receives the four agent scores — s_v (velocity), s_g (geo), s_b (behavior), s_n (GNN) — and computes a weighted aggregation to produce the final fraud probability P(fraud | transacti</w:t>
      </w:r>
      <w:r w:rsidRPr="00B20947">
        <w:rPr>
          <w:rFonts w:ascii="Times New Roman" w:hAnsi="Times New Roman" w:cs="Times New Roman"/>
          <w:color w:val="000000" w:themeColor="text1"/>
        </w:rPr>
        <w:t>on context). The weight vector w = [w_v, w_g, w_b, w_n] is not fixed; it is dynamically selected from a pre-trained weight matrix W indexed by transaction type:</w:t>
      </w:r>
    </w:p>
    <w:p w14:paraId="095CC86D"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For high-value P2P transfers, the GNN Agent receives elevated weight (w_n = 0.40) because organ</w:t>
      </w:r>
      <w:r w:rsidRPr="00B20947">
        <w:rPr>
          <w:rFonts w:ascii="Times New Roman" w:hAnsi="Times New Roman" w:cs="Times New Roman"/>
          <w:color w:val="000000" w:themeColor="text1"/>
        </w:rPr>
        <w:t xml:space="preserve">ized fraud rings are disproportionately active in P2P channels, while the Velocity Agent receives reduced weight (w_v = </w:t>
      </w:r>
      <w:r w:rsidRPr="00B20947">
        <w:rPr>
          <w:rFonts w:ascii="Times New Roman" w:hAnsi="Times New Roman" w:cs="Times New Roman"/>
          <w:color w:val="000000" w:themeColor="text1"/>
        </w:rPr>
        <w:lastRenderedPageBreak/>
        <w:t xml:space="preserve">0.15) because high-value P2P transfers are inherently lower-frequency. For QR payments, the Velocity Agent receives maximum weight (w_v </w:t>
      </w:r>
      <w:r w:rsidRPr="00B20947">
        <w:rPr>
          <w:rFonts w:ascii="Times New Roman" w:hAnsi="Times New Roman" w:cs="Times New Roman"/>
          <w:color w:val="000000" w:themeColor="text1"/>
        </w:rPr>
        <w:t>= 0.35) because QR fraud frequently manifests as rapid multi-scan attacks, and the GNN Agent receives reduced weight (w_n = 0.15). For USSD top-up transactions, the Geo Agent receives elevated weight (w_g = 0.35) because SIM-swap attacks typically originat</w:t>
      </w:r>
      <w:r w:rsidRPr="00B20947">
        <w:rPr>
          <w:rFonts w:ascii="Times New Roman" w:hAnsi="Times New Roman" w:cs="Times New Roman"/>
          <w:color w:val="000000" w:themeColor="text1"/>
        </w:rPr>
        <w:t>e from atypical geographic locations.</w:t>
      </w:r>
    </w:p>
    <w:p w14:paraId="4781BD8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weight matrix W is learned through a meta-learning procedure on labeled training data, treating the weight vector as a learnable parameter optimized to minimize classification loss stratified by transaction type. T</w:t>
      </w:r>
      <w:r w:rsidRPr="00B20947">
        <w:rPr>
          <w:rFonts w:ascii="Times New Roman" w:hAnsi="Times New Roman" w:cs="Times New Roman"/>
          <w:color w:val="000000" w:themeColor="text1"/>
        </w:rPr>
        <w:t>his produces a Synthesis Agent that adapts its reasoning strategy based on the economic and behavioral context of each transaction, rather than applying a uniform aggregation that implicitly assumes all fraud signals are equally informative across all tran</w:t>
      </w:r>
      <w:r w:rsidRPr="00B20947">
        <w:rPr>
          <w:rFonts w:ascii="Times New Roman" w:hAnsi="Times New Roman" w:cs="Times New Roman"/>
          <w:color w:val="000000" w:themeColor="text1"/>
        </w:rPr>
        <w:t>saction types.</w:t>
      </w:r>
    </w:p>
    <w:p w14:paraId="5750221B"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3.7 OTP Interlock</w:t>
      </w:r>
    </w:p>
    <w:p w14:paraId="383945A5"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Transactions receiving a REVIEW verdict are routed to the OTP Interlock, a dual-channel authentication protocol specifically engineered to resist SIM-swap attacks. The protocol requires independent confirmation over two het</w:t>
      </w:r>
      <w:r w:rsidRPr="00B20947">
        <w:rPr>
          <w:rFonts w:ascii="Times New Roman" w:hAnsi="Times New Roman" w:cs="Times New Roman"/>
          <w:color w:val="000000" w:themeColor="text1"/>
        </w:rPr>
        <w:t>erogeneous channels: an email OTP and an SMS OTP, both generated as 6-digit time-based tokens (TOTP per RFC 6238) with independent secrets. The transaction is authorized only if both OTPs are confirmed within a 90-second window.</w:t>
      </w:r>
    </w:p>
    <w:p w14:paraId="08318AA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dual-channel requiremen</w:t>
      </w:r>
      <w:r w:rsidRPr="00B20947">
        <w:rPr>
          <w:rFonts w:ascii="Times New Roman" w:hAnsi="Times New Roman" w:cs="Times New Roman"/>
          <w:color w:val="000000" w:themeColor="text1"/>
        </w:rPr>
        <w:t>t raises the bar for attackers significantly: a SIM-swap attack that compromises SMS delivery is insufficient if the attacker does not also control the user's email account. An email account takeover is likewise insufficient without the SMS channel. The at</w:t>
      </w:r>
      <w:r w:rsidRPr="00B20947">
        <w:rPr>
          <w:rFonts w:ascii="Times New Roman" w:hAnsi="Times New Roman" w:cs="Times New Roman"/>
          <w:color w:val="000000" w:themeColor="text1"/>
        </w:rPr>
        <w:t>tacker must compromise both channels simultaneously within the 90-second window, a materially harder attack than compromising a single channel.</w:t>
      </w:r>
    </w:p>
    <w:p w14:paraId="6FA02B76"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When either channel fails — OTP not entered, incorrect OTP entered, or OTP expired — the Interlock escalates to </w:t>
      </w:r>
      <w:r w:rsidRPr="00B20947">
        <w:rPr>
          <w:rFonts w:ascii="Times New Roman" w:hAnsi="Times New Roman" w:cs="Times New Roman"/>
          <w:color w:val="000000" w:themeColor="text1"/>
        </w:rPr>
        <w:t xml:space="preserve">full account review: the transaction is blocked, the account is placed into a soft lock that requires identity re-verification, and a fraud alert is dispatched to the user via a third channel (in-app push notification). The escalation path is deliberately </w:t>
      </w:r>
      <w:r w:rsidRPr="00B20947">
        <w:rPr>
          <w:rFonts w:ascii="Times New Roman" w:hAnsi="Times New Roman" w:cs="Times New Roman"/>
          <w:color w:val="000000" w:themeColor="text1"/>
        </w:rPr>
        <w:t>distinct from both primary channels so that an attacker who controls both SMS and email cannot suppress the alert.</w:t>
      </w:r>
    </w:p>
    <w:p w14:paraId="6EB03A10" w14:textId="77777777"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 Implementation Mechanism</w:t>
      </w:r>
    </w:p>
    <w:p w14:paraId="7DE2B245"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4.1 System Architecture and Data Flow</w:t>
      </w:r>
    </w:p>
    <w:p w14:paraId="7CDE0BC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Transaction events are ingested via Apache Kafka, which provides a durable</w:t>
      </w:r>
      <w:r w:rsidRPr="00B20947">
        <w:rPr>
          <w:rFonts w:ascii="Times New Roman" w:hAnsi="Times New Roman" w:cs="Times New Roman"/>
          <w:color w:val="000000" w:themeColor="text1"/>
        </w:rPr>
        <w:t>, high-throughput event stream with at-least-once delivery guarantees. Each transaction event is published to a Kafka topic partitioned by account ID, ensuring that all events for a given account are processed by the same consumer group instance — preservi</w:t>
      </w:r>
      <w:r w:rsidRPr="00B20947">
        <w:rPr>
          <w:rFonts w:ascii="Times New Roman" w:hAnsi="Times New Roman" w:cs="Times New Roman"/>
          <w:color w:val="000000" w:themeColor="text1"/>
        </w:rPr>
        <w:t>ng ordering within an account's event stream, which is critical for the LSTM sequence model.</w:t>
      </w:r>
    </w:p>
    <w:p w14:paraId="6D75F3B5"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The Kafka consumer layer spawns four parallel worker threads, one per agent. Each agent consumes the transaction event from a replicated Kafka consumer group, exec</w:t>
      </w:r>
      <w:r w:rsidRPr="00B20947">
        <w:rPr>
          <w:rFonts w:ascii="Times New Roman" w:hAnsi="Times New Roman" w:cs="Times New Roman"/>
          <w:color w:val="000000" w:themeColor="text1"/>
        </w:rPr>
        <w:t>utes its scoring logic, and publishes its score to a secondary Kafka topic prefixed with the agent name. The Synthesis Agent subscribes to all four score topics and, using a tumbling-window join with a 750ms deadline, assembles the four scores and computes</w:t>
      </w:r>
      <w:r w:rsidRPr="00B20947">
        <w:rPr>
          <w:rFonts w:ascii="Times New Roman" w:hAnsi="Times New Roman" w:cs="Times New Roman"/>
          <w:color w:val="000000" w:themeColor="text1"/>
        </w:rPr>
        <w:t xml:space="preserve"> the final verdict. If any agent fails to produce a score within the window, the Synthesis Agent falls back to a weighted average of available scores with the missing agent's weight redistributed proportionally.</w:t>
      </w:r>
    </w:p>
    <w:p w14:paraId="611345B0"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4.2 Technology Stack</w:t>
      </w:r>
    </w:p>
    <w:p w14:paraId="3B65502C"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framework is implem</w:t>
      </w:r>
      <w:r w:rsidRPr="00B20947">
        <w:rPr>
          <w:rFonts w:ascii="Times New Roman" w:hAnsi="Times New Roman" w:cs="Times New Roman"/>
          <w:color w:val="000000" w:themeColor="text1"/>
        </w:rPr>
        <w:t>ented with the following technology choices:</w:t>
      </w:r>
    </w:p>
    <w:p w14:paraId="38C17CA7"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Model training: PyTorch for LSTM and GNN models; scikit-learn for Isolation Forest and Random Forest. MLflow tracks all experiments, hyperparameters, and model versions, enabling reproducible training runs and s</w:t>
      </w:r>
      <w:r w:rsidRPr="00B20947">
        <w:rPr>
          <w:rFonts w:ascii="Times New Roman" w:hAnsi="Times New Roman" w:cs="Times New Roman"/>
          <w:color w:val="000000" w:themeColor="text1"/>
        </w:rPr>
        <w:t>traightforward model promotion to production.</w:t>
      </w:r>
    </w:p>
    <w:p w14:paraId="71D7F63F"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Feature store: Redis 7.x serves dual roles as the velocity sliding-window cache and the device fingerprint registry. Redis Cluster is used in production for horizontal scalability.</w:t>
      </w:r>
    </w:p>
    <w:p w14:paraId="050EB817"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Graph database: Neo4j 5.x sto</w:t>
      </w:r>
      <w:r w:rsidRPr="00B20947">
        <w:rPr>
          <w:rFonts w:ascii="Times New Roman" w:hAnsi="Times New Roman" w:cs="Times New Roman"/>
          <w:color w:val="000000" w:themeColor="text1"/>
        </w:rPr>
        <w:t>res the transaction bipartite graph. The GNN Agent queries Neo4j for the k-hop neighborhood of the source account and destination merchant at inference time, with the neighborhood result cached in Redis for 60 seconds to avoid repeated graph traversals for</w:t>
      </w:r>
      <w:r w:rsidRPr="00B20947">
        <w:rPr>
          <w:rFonts w:ascii="Times New Roman" w:hAnsi="Times New Roman" w:cs="Times New Roman"/>
          <w:color w:val="000000" w:themeColor="text1"/>
        </w:rPr>
        <w:t xml:space="preserve"> high-frequency accounts.</w:t>
      </w:r>
    </w:p>
    <w:p w14:paraId="20B8FEBC"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Message broker: Apache Kafka 3.x with Zookeeper. Topic replication factor of 3, partition count of 64 per topic, ensuring fault tolerance and throughput scalability.</w:t>
      </w:r>
    </w:p>
    <w:p w14:paraId="7411247F"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OTP delivery: Twilio for SMS OTP delivery internationally and Sparrow SMS for domestic Nepal SMS (lower latency and cost within the NTC/Ncell network). Email OTP is dispatched via SendGrid.</w:t>
      </w:r>
    </w:p>
    <w:p w14:paraId="50B210CD" w14:textId="77777777" w:rsidR="00955E1C" w:rsidRPr="00B20947" w:rsidRDefault="00810D0E" w:rsidP="00313E91">
      <w:pPr>
        <w:pStyle w:val="ListParagraph"/>
        <w:numPr>
          <w:ilvl w:val="0"/>
          <w:numId w:val="2"/>
        </w:num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API layer: FastAPI (Python) exposes the fraud verdict as a synchro</w:t>
      </w:r>
      <w:r w:rsidRPr="00B20947">
        <w:rPr>
          <w:rFonts w:ascii="Times New Roman" w:hAnsi="Times New Roman" w:cs="Times New Roman"/>
          <w:color w:val="000000" w:themeColor="text1"/>
        </w:rPr>
        <w:t>nous REST endpoint for legacy payment system integration and as an asynchronous Kafka-based event for streaming integrations.</w:t>
      </w:r>
    </w:p>
    <w:p w14:paraId="5A3B5B44"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4.3 Training Data and Dataset</w:t>
      </w:r>
    </w:p>
    <w:p w14:paraId="322934E4"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Primary model training is performed on the IEEE-CIS Fraud Detection dataset (Kaggle Competition, 201</w:t>
      </w:r>
      <w:r w:rsidRPr="00B20947">
        <w:rPr>
          <w:rFonts w:ascii="Times New Roman" w:hAnsi="Times New Roman" w:cs="Times New Roman"/>
          <w:color w:val="000000" w:themeColor="text1"/>
        </w:rPr>
        <w:t>9), which contains 590,540 transactions with 433 features including transaction amounts, card metadata, device information, and identity-linking features, with a fraud prevalence of approximately 3.5%. The dataset is used to train the Isolation Forest, LST</w:t>
      </w:r>
      <w:r w:rsidRPr="00B20947">
        <w:rPr>
          <w:rFonts w:ascii="Times New Roman" w:hAnsi="Times New Roman" w:cs="Times New Roman"/>
          <w:color w:val="000000" w:themeColor="text1"/>
        </w:rPr>
        <w:t>M, and Random Forest components.</w:t>
      </w:r>
    </w:p>
    <w:p w14:paraId="71DEEBF6"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Because the IEEE-CIS dataset reflects US credit card transactions rather than Nepalese mobile wallet usage, a synthetic augmentation layer was developed. Using the Synthetic Data Vault (SDV) library, synthetic transaction t</w:t>
      </w:r>
      <w:r w:rsidRPr="00B20947">
        <w:rPr>
          <w:rFonts w:ascii="Times New Roman" w:hAnsi="Times New Roman" w:cs="Times New Roman"/>
          <w:color w:val="000000" w:themeColor="text1"/>
        </w:rPr>
        <w:t xml:space="preserve">races were generated conditioned on Nepalese contextual priors: eSewa merchant category distributions (derived from publicly available eSewa merchant documentation), Nepalese time-zone transaction </w:t>
      </w:r>
      <w:r w:rsidRPr="00B20947">
        <w:rPr>
          <w:rFonts w:ascii="Times New Roman" w:hAnsi="Times New Roman" w:cs="Times New Roman"/>
          <w:color w:val="000000" w:themeColor="text1"/>
        </w:rPr>
        <w:lastRenderedPageBreak/>
        <w:t>timing patterns, and NRs-denominated amount distributions c</w:t>
      </w:r>
      <w:r w:rsidRPr="00B20947">
        <w:rPr>
          <w:rFonts w:ascii="Times New Roman" w:hAnsi="Times New Roman" w:cs="Times New Roman"/>
          <w:color w:val="000000" w:themeColor="text1"/>
        </w:rPr>
        <w:t>alibrated to reflect typical Nepalese household spending profiles. This augmented dataset was used to fine-tune the LSTM Behavior Agent and validate the Synthesis Agent weight matrix.</w:t>
      </w:r>
    </w:p>
    <w:p w14:paraId="100F341B"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transaction graph for GNN training was constructed by extracting acc</w:t>
      </w:r>
      <w:r w:rsidRPr="00B20947">
        <w:rPr>
          <w:rFonts w:ascii="Times New Roman" w:hAnsi="Times New Roman" w:cs="Times New Roman"/>
          <w:color w:val="000000" w:themeColor="text1"/>
        </w:rPr>
        <w:t>ount-merchant bipartite edges from the IEEE-CIS dataset, where the identity features (iD1-iD38) were used as proxy account identifiers. Synthetic fraud ring structures — star topologies of 3-7 mule accounts sharing a common destination merchant — were inje</w:t>
      </w:r>
      <w:r w:rsidRPr="00B20947">
        <w:rPr>
          <w:rFonts w:ascii="Times New Roman" w:hAnsi="Times New Roman" w:cs="Times New Roman"/>
          <w:color w:val="000000" w:themeColor="text1"/>
        </w:rPr>
        <w:t>cted at a 1:20 ratio to provide positive training examples for the GNN Agent.</w:t>
      </w:r>
    </w:p>
    <w:p w14:paraId="324EAD7A"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4.4 Latency Budget</w:t>
      </w:r>
    </w:p>
    <w:tbl>
      <w:tblPr>
        <w:tblStyle w:val="TableGrid"/>
        <w:tblW w:w="9634" w:type="dxa"/>
        <w:tblLook w:val="04A0" w:firstRow="1" w:lastRow="0" w:firstColumn="1" w:lastColumn="0" w:noHBand="0" w:noVBand="1"/>
      </w:tblPr>
      <w:tblGrid>
        <w:gridCol w:w="2972"/>
        <w:gridCol w:w="2977"/>
        <w:gridCol w:w="1843"/>
        <w:gridCol w:w="1842"/>
      </w:tblGrid>
      <w:tr w:rsidR="00B20947" w:rsidRPr="00B20947" w14:paraId="2B0446DE" w14:textId="77777777" w:rsidTr="00460A49">
        <w:tc>
          <w:tcPr>
            <w:tcW w:w="2972" w:type="dxa"/>
          </w:tcPr>
          <w:p w14:paraId="0F61E79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Component</w:t>
            </w:r>
          </w:p>
        </w:tc>
        <w:tc>
          <w:tcPr>
            <w:tcW w:w="2977" w:type="dxa"/>
          </w:tcPr>
          <w:p w14:paraId="39FEE75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Operation</w:t>
            </w:r>
          </w:p>
        </w:tc>
        <w:tc>
          <w:tcPr>
            <w:tcW w:w="1843" w:type="dxa"/>
          </w:tcPr>
          <w:p w14:paraId="02FD0F9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P50 Latency (ms)</w:t>
            </w:r>
          </w:p>
        </w:tc>
        <w:tc>
          <w:tcPr>
            <w:tcW w:w="1842" w:type="dxa"/>
          </w:tcPr>
          <w:p w14:paraId="414C667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P99 Latency (ms)</w:t>
            </w:r>
          </w:p>
        </w:tc>
      </w:tr>
      <w:tr w:rsidR="00B20947" w:rsidRPr="00B20947" w14:paraId="0C69DDA4" w14:textId="77777777" w:rsidTr="00460A49">
        <w:tc>
          <w:tcPr>
            <w:tcW w:w="2972" w:type="dxa"/>
          </w:tcPr>
          <w:p w14:paraId="5E1F766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Kafka Ingest</w:t>
            </w:r>
          </w:p>
        </w:tc>
        <w:tc>
          <w:tcPr>
            <w:tcW w:w="2977" w:type="dxa"/>
          </w:tcPr>
          <w:p w14:paraId="780D6F3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Event publish + consumer lag</w:t>
            </w:r>
          </w:p>
        </w:tc>
        <w:tc>
          <w:tcPr>
            <w:tcW w:w="1843" w:type="dxa"/>
          </w:tcPr>
          <w:p w14:paraId="36711E4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8</w:t>
            </w:r>
          </w:p>
        </w:tc>
        <w:tc>
          <w:tcPr>
            <w:tcW w:w="1842" w:type="dxa"/>
          </w:tcPr>
          <w:p w14:paraId="2CA33660"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22</w:t>
            </w:r>
          </w:p>
        </w:tc>
      </w:tr>
      <w:tr w:rsidR="00B20947" w:rsidRPr="00B20947" w14:paraId="3EF005C6" w14:textId="77777777" w:rsidTr="00460A49">
        <w:tc>
          <w:tcPr>
            <w:tcW w:w="2972" w:type="dxa"/>
          </w:tcPr>
          <w:p w14:paraId="54688B1C"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Velocity Agent</w:t>
            </w:r>
          </w:p>
        </w:tc>
        <w:tc>
          <w:tcPr>
            <w:tcW w:w="2977" w:type="dxa"/>
          </w:tcPr>
          <w:p w14:paraId="49AD834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Redis EVALSHA + scoring</w:t>
            </w:r>
          </w:p>
        </w:tc>
        <w:tc>
          <w:tcPr>
            <w:tcW w:w="1843" w:type="dxa"/>
          </w:tcPr>
          <w:p w14:paraId="2092B11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5</w:t>
            </w:r>
          </w:p>
        </w:tc>
        <w:tc>
          <w:tcPr>
            <w:tcW w:w="1842" w:type="dxa"/>
          </w:tcPr>
          <w:p w14:paraId="36A04E7E"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12</w:t>
            </w:r>
          </w:p>
        </w:tc>
      </w:tr>
      <w:tr w:rsidR="00B20947" w:rsidRPr="00B20947" w14:paraId="15244436" w14:textId="77777777" w:rsidTr="00460A49">
        <w:tc>
          <w:tcPr>
            <w:tcW w:w="2972" w:type="dxa"/>
          </w:tcPr>
          <w:p w14:paraId="191A5A25"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Geo Agent</w:t>
            </w:r>
          </w:p>
        </w:tc>
        <w:tc>
          <w:tcPr>
            <w:tcW w:w="2977" w:type="dxa"/>
          </w:tcPr>
          <w:p w14:paraId="2300EF6C"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IP lookup + fingerprint hash</w:t>
            </w:r>
          </w:p>
        </w:tc>
        <w:tc>
          <w:tcPr>
            <w:tcW w:w="1843" w:type="dxa"/>
          </w:tcPr>
          <w:p w14:paraId="75EDBBA0"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18</w:t>
            </w:r>
          </w:p>
        </w:tc>
        <w:tc>
          <w:tcPr>
            <w:tcW w:w="1842" w:type="dxa"/>
          </w:tcPr>
          <w:p w14:paraId="3C43EE93"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35</w:t>
            </w:r>
          </w:p>
        </w:tc>
      </w:tr>
      <w:tr w:rsidR="00B20947" w:rsidRPr="00B20947" w14:paraId="54BFDF2B" w14:textId="77777777" w:rsidTr="00460A49">
        <w:tc>
          <w:tcPr>
            <w:tcW w:w="2972" w:type="dxa"/>
          </w:tcPr>
          <w:p w14:paraId="2B59980C"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Behavior Agent</w:t>
            </w:r>
          </w:p>
        </w:tc>
        <w:tc>
          <w:tcPr>
            <w:tcW w:w="2977" w:type="dxa"/>
          </w:tcPr>
          <w:p w14:paraId="272AC25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LSTM inference (GPU)</w:t>
            </w:r>
          </w:p>
        </w:tc>
        <w:tc>
          <w:tcPr>
            <w:tcW w:w="1843" w:type="dxa"/>
          </w:tcPr>
          <w:p w14:paraId="2E6DCC4F"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220</w:t>
            </w:r>
          </w:p>
        </w:tc>
        <w:tc>
          <w:tcPr>
            <w:tcW w:w="1842" w:type="dxa"/>
          </w:tcPr>
          <w:p w14:paraId="4543CA97"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380</w:t>
            </w:r>
          </w:p>
        </w:tc>
      </w:tr>
      <w:tr w:rsidR="00B20947" w:rsidRPr="00B20947" w14:paraId="41389DB5" w14:textId="77777777" w:rsidTr="00460A49">
        <w:tc>
          <w:tcPr>
            <w:tcW w:w="2972" w:type="dxa"/>
          </w:tcPr>
          <w:p w14:paraId="5FE14611"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GNN Agent</w:t>
            </w:r>
          </w:p>
        </w:tc>
        <w:tc>
          <w:tcPr>
            <w:tcW w:w="2977" w:type="dxa"/>
          </w:tcPr>
          <w:p w14:paraId="6049E50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Neo4j query + GAT forward</w:t>
            </w:r>
          </w:p>
        </w:tc>
        <w:tc>
          <w:tcPr>
            <w:tcW w:w="1843" w:type="dxa"/>
          </w:tcPr>
          <w:p w14:paraId="0DE3F1C5"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180</w:t>
            </w:r>
          </w:p>
        </w:tc>
        <w:tc>
          <w:tcPr>
            <w:tcW w:w="1842" w:type="dxa"/>
          </w:tcPr>
          <w:p w14:paraId="7CBEDD31"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310</w:t>
            </w:r>
          </w:p>
        </w:tc>
      </w:tr>
      <w:tr w:rsidR="00B20947" w:rsidRPr="00B20947" w14:paraId="19C1166B" w14:textId="77777777" w:rsidTr="00460A49">
        <w:tc>
          <w:tcPr>
            <w:tcW w:w="2972" w:type="dxa"/>
          </w:tcPr>
          <w:p w14:paraId="3406FACD"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Synthesis Agent</w:t>
            </w:r>
          </w:p>
        </w:tc>
        <w:tc>
          <w:tcPr>
            <w:tcW w:w="2977" w:type="dxa"/>
          </w:tcPr>
          <w:p w14:paraId="0AD06058"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Score join + weight multiply</w:t>
            </w:r>
          </w:p>
        </w:tc>
        <w:tc>
          <w:tcPr>
            <w:tcW w:w="1843" w:type="dxa"/>
          </w:tcPr>
          <w:p w14:paraId="770CC99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12</w:t>
            </w:r>
          </w:p>
        </w:tc>
        <w:tc>
          <w:tcPr>
            <w:tcW w:w="1842" w:type="dxa"/>
          </w:tcPr>
          <w:p w14:paraId="409E737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28</w:t>
            </w:r>
          </w:p>
        </w:tc>
      </w:tr>
      <w:tr w:rsidR="00B20947" w:rsidRPr="00B20947" w14:paraId="1451C788" w14:textId="77777777" w:rsidTr="00460A49">
        <w:tc>
          <w:tcPr>
            <w:tcW w:w="2972" w:type="dxa"/>
          </w:tcPr>
          <w:p w14:paraId="1F85CD75"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OTP Dispatch</w:t>
            </w:r>
          </w:p>
        </w:tc>
        <w:tc>
          <w:tcPr>
            <w:tcW w:w="2977" w:type="dxa"/>
          </w:tcPr>
          <w:p w14:paraId="6B27B90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Twilio/Sparrow API call</w:t>
            </w:r>
          </w:p>
        </w:tc>
        <w:tc>
          <w:tcPr>
            <w:tcW w:w="1843" w:type="dxa"/>
          </w:tcPr>
          <w:p w14:paraId="6DF20BDF"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120</w:t>
            </w:r>
          </w:p>
        </w:tc>
        <w:tc>
          <w:tcPr>
            <w:tcW w:w="1842" w:type="dxa"/>
          </w:tcPr>
          <w:p w14:paraId="79BE4B0A"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280</w:t>
            </w:r>
          </w:p>
        </w:tc>
      </w:tr>
      <w:tr w:rsidR="00B20947" w:rsidRPr="00B20947" w14:paraId="1599F1A4" w14:textId="77777777" w:rsidTr="00460A49">
        <w:tc>
          <w:tcPr>
            <w:tcW w:w="2972" w:type="dxa"/>
          </w:tcPr>
          <w:p w14:paraId="20605A7D"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Total (PASS/BLOCK)</w:t>
            </w:r>
          </w:p>
        </w:tc>
        <w:tc>
          <w:tcPr>
            <w:tcW w:w="2977" w:type="dxa"/>
          </w:tcPr>
          <w:p w14:paraId="2B7C3C1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End-to-end pipeline</w:t>
            </w:r>
          </w:p>
        </w:tc>
        <w:tc>
          <w:tcPr>
            <w:tcW w:w="1843" w:type="dxa"/>
          </w:tcPr>
          <w:p w14:paraId="5819E731"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443</w:t>
            </w:r>
          </w:p>
        </w:tc>
        <w:tc>
          <w:tcPr>
            <w:tcW w:w="1842" w:type="dxa"/>
          </w:tcPr>
          <w:p w14:paraId="74C71C6A"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787</w:t>
            </w:r>
          </w:p>
        </w:tc>
      </w:tr>
    </w:tbl>
    <w:p w14:paraId="4DD7E00B" w14:textId="77777777" w:rsidR="00955E1C" w:rsidRPr="00B20947" w:rsidRDefault="00955E1C" w:rsidP="00313E91">
      <w:pPr>
        <w:spacing w:line="360" w:lineRule="auto"/>
        <w:rPr>
          <w:rFonts w:ascii="Times New Roman" w:hAnsi="Times New Roman" w:cs="Times New Roman"/>
          <w:color w:val="000000" w:themeColor="text1"/>
        </w:rPr>
      </w:pPr>
    </w:p>
    <w:p w14:paraId="6DBADA10"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All latency measurements reflect median (P50) and 99th-percentile (P99) values from load testing at 500 transactions per second on a simulated cluster. Behavior Agent and GNN Agent inference runs on a shared NVIDIA T4 GPU instance; other components run on </w:t>
      </w:r>
      <w:r w:rsidRPr="00B20947">
        <w:rPr>
          <w:rFonts w:ascii="Times New Roman" w:hAnsi="Times New Roman" w:cs="Times New Roman"/>
          <w:color w:val="000000" w:themeColor="text1"/>
        </w:rPr>
        <w:t>CPU.</w:t>
      </w:r>
    </w:p>
    <w:p w14:paraId="344C9060"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4.5 Model Performance</w:t>
      </w:r>
    </w:p>
    <w:p w14:paraId="784B706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following table summarizes classification metrics for individual agents and the combined AFDF system on the held-out IEEE-CIS test set (20% stratified split, 118,108 transactions):</w:t>
      </w:r>
    </w:p>
    <w:tbl>
      <w:tblPr>
        <w:tblStyle w:val="TableGrid"/>
        <w:tblW w:w="9360" w:type="dxa"/>
        <w:tblLook w:val="04A0" w:firstRow="1" w:lastRow="0" w:firstColumn="1" w:lastColumn="0" w:noHBand="0" w:noVBand="1"/>
      </w:tblPr>
      <w:tblGrid>
        <w:gridCol w:w="2880"/>
        <w:gridCol w:w="1620"/>
        <w:gridCol w:w="1620"/>
        <w:gridCol w:w="1620"/>
        <w:gridCol w:w="1620"/>
      </w:tblGrid>
      <w:tr w:rsidR="00B20947" w:rsidRPr="00B20947" w14:paraId="680D0500" w14:textId="77777777" w:rsidTr="00460A49">
        <w:tc>
          <w:tcPr>
            <w:tcW w:w="2880" w:type="dxa"/>
          </w:tcPr>
          <w:p w14:paraId="01238B0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Component</w:t>
            </w:r>
          </w:p>
        </w:tc>
        <w:tc>
          <w:tcPr>
            <w:tcW w:w="1620" w:type="dxa"/>
          </w:tcPr>
          <w:p w14:paraId="4B99C8E3"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AUC</w:t>
            </w:r>
          </w:p>
        </w:tc>
        <w:tc>
          <w:tcPr>
            <w:tcW w:w="1620" w:type="dxa"/>
          </w:tcPr>
          <w:p w14:paraId="65BC8687"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Precision</w:t>
            </w:r>
          </w:p>
        </w:tc>
        <w:tc>
          <w:tcPr>
            <w:tcW w:w="1620" w:type="dxa"/>
          </w:tcPr>
          <w:p w14:paraId="0C81DB1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Recall</w:t>
            </w:r>
          </w:p>
        </w:tc>
        <w:tc>
          <w:tcPr>
            <w:tcW w:w="1620" w:type="dxa"/>
          </w:tcPr>
          <w:p w14:paraId="6CBEA000"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F1 Score</w:t>
            </w:r>
          </w:p>
        </w:tc>
      </w:tr>
      <w:tr w:rsidR="00B20947" w:rsidRPr="00B20947" w14:paraId="23DCF555" w14:textId="77777777" w:rsidTr="00460A49">
        <w:tc>
          <w:tcPr>
            <w:tcW w:w="2880" w:type="dxa"/>
          </w:tcPr>
          <w:p w14:paraId="5685CB8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Velocity Agent</w:t>
            </w:r>
          </w:p>
        </w:tc>
        <w:tc>
          <w:tcPr>
            <w:tcW w:w="1620" w:type="dxa"/>
          </w:tcPr>
          <w:p w14:paraId="65DD136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0.831</w:t>
            </w:r>
          </w:p>
        </w:tc>
        <w:tc>
          <w:tcPr>
            <w:tcW w:w="1620" w:type="dxa"/>
          </w:tcPr>
          <w:p w14:paraId="6D3DC30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0.71</w:t>
            </w:r>
          </w:p>
        </w:tc>
        <w:tc>
          <w:tcPr>
            <w:tcW w:w="1620" w:type="dxa"/>
          </w:tcPr>
          <w:p w14:paraId="756F223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0.68</w:t>
            </w:r>
          </w:p>
        </w:tc>
        <w:tc>
          <w:tcPr>
            <w:tcW w:w="1620" w:type="dxa"/>
          </w:tcPr>
          <w:p w14:paraId="4380161B"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0.695</w:t>
            </w:r>
          </w:p>
        </w:tc>
      </w:tr>
      <w:tr w:rsidR="00B20947" w:rsidRPr="00B20947" w14:paraId="2D07981D" w14:textId="77777777" w:rsidTr="00460A49">
        <w:tc>
          <w:tcPr>
            <w:tcW w:w="2880" w:type="dxa"/>
          </w:tcPr>
          <w:p w14:paraId="6EBC8A7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Geo Agent</w:t>
            </w:r>
          </w:p>
        </w:tc>
        <w:tc>
          <w:tcPr>
            <w:tcW w:w="1620" w:type="dxa"/>
          </w:tcPr>
          <w:p w14:paraId="52187668"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0.854</w:t>
            </w:r>
          </w:p>
        </w:tc>
        <w:tc>
          <w:tcPr>
            <w:tcW w:w="1620" w:type="dxa"/>
          </w:tcPr>
          <w:p w14:paraId="0F834DC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0.74</w:t>
            </w:r>
          </w:p>
        </w:tc>
        <w:tc>
          <w:tcPr>
            <w:tcW w:w="1620" w:type="dxa"/>
          </w:tcPr>
          <w:p w14:paraId="3B4B5E2D"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0.72</w:t>
            </w:r>
          </w:p>
        </w:tc>
        <w:tc>
          <w:tcPr>
            <w:tcW w:w="1620" w:type="dxa"/>
          </w:tcPr>
          <w:p w14:paraId="5568B57E"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0.730</w:t>
            </w:r>
          </w:p>
        </w:tc>
      </w:tr>
      <w:tr w:rsidR="00B20947" w:rsidRPr="00B20947" w14:paraId="731E3C43" w14:textId="77777777" w:rsidTr="00460A49">
        <w:tc>
          <w:tcPr>
            <w:tcW w:w="2880" w:type="dxa"/>
          </w:tcPr>
          <w:p w14:paraId="1763553F"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Behavior Agent</w:t>
            </w:r>
          </w:p>
        </w:tc>
        <w:tc>
          <w:tcPr>
            <w:tcW w:w="1620" w:type="dxa"/>
          </w:tcPr>
          <w:p w14:paraId="58CA1B0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0.921</w:t>
            </w:r>
          </w:p>
        </w:tc>
        <w:tc>
          <w:tcPr>
            <w:tcW w:w="1620" w:type="dxa"/>
          </w:tcPr>
          <w:p w14:paraId="5C7B4D15"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0.84</w:t>
            </w:r>
          </w:p>
        </w:tc>
        <w:tc>
          <w:tcPr>
            <w:tcW w:w="1620" w:type="dxa"/>
          </w:tcPr>
          <w:p w14:paraId="0148F64D"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0.81</w:t>
            </w:r>
          </w:p>
        </w:tc>
        <w:tc>
          <w:tcPr>
            <w:tcW w:w="1620" w:type="dxa"/>
          </w:tcPr>
          <w:p w14:paraId="671D8904"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0.825</w:t>
            </w:r>
          </w:p>
        </w:tc>
      </w:tr>
      <w:tr w:rsidR="00B20947" w:rsidRPr="00B20947" w14:paraId="3AE43C71" w14:textId="77777777" w:rsidTr="00460A49">
        <w:tc>
          <w:tcPr>
            <w:tcW w:w="2880" w:type="dxa"/>
          </w:tcPr>
          <w:p w14:paraId="69FACB87"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GNN Agent</w:t>
            </w:r>
          </w:p>
        </w:tc>
        <w:tc>
          <w:tcPr>
            <w:tcW w:w="1620" w:type="dxa"/>
          </w:tcPr>
          <w:p w14:paraId="555ED72E"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0.903</w:t>
            </w:r>
          </w:p>
        </w:tc>
        <w:tc>
          <w:tcPr>
            <w:tcW w:w="1620" w:type="dxa"/>
          </w:tcPr>
          <w:p w14:paraId="3271D116"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0.80</w:t>
            </w:r>
          </w:p>
        </w:tc>
        <w:tc>
          <w:tcPr>
            <w:tcW w:w="1620" w:type="dxa"/>
          </w:tcPr>
          <w:p w14:paraId="536EF68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0.79</w:t>
            </w:r>
          </w:p>
        </w:tc>
        <w:tc>
          <w:tcPr>
            <w:tcW w:w="1620" w:type="dxa"/>
          </w:tcPr>
          <w:p w14:paraId="62F3B7EF"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sz w:val="20"/>
                <w:szCs w:val="20"/>
              </w:rPr>
              <w:t>0.795</w:t>
            </w:r>
          </w:p>
        </w:tc>
      </w:tr>
      <w:tr w:rsidR="00B20947" w:rsidRPr="00B20947" w14:paraId="7CAB04CC" w14:textId="77777777" w:rsidTr="00460A49">
        <w:tc>
          <w:tcPr>
            <w:tcW w:w="2880" w:type="dxa"/>
          </w:tcPr>
          <w:p w14:paraId="60EF951D"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AFDF (Combined)</w:t>
            </w:r>
          </w:p>
        </w:tc>
        <w:tc>
          <w:tcPr>
            <w:tcW w:w="1620" w:type="dxa"/>
          </w:tcPr>
          <w:p w14:paraId="6238601C"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0.972</w:t>
            </w:r>
          </w:p>
        </w:tc>
        <w:tc>
          <w:tcPr>
            <w:tcW w:w="1620" w:type="dxa"/>
          </w:tcPr>
          <w:p w14:paraId="27CC0590"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0.94</w:t>
            </w:r>
          </w:p>
        </w:tc>
        <w:tc>
          <w:tcPr>
            <w:tcW w:w="1620" w:type="dxa"/>
          </w:tcPr>
          <w:p w14:paraId="58FE34A9"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0.91</w:t>
            </w:r>
          </w:p>
        </w:tc>
        <w:tc>
          <w:tcPr>
            <w:tcW w:w="1620" w:type="dxa"/>
          </w:tcPr>
          <w:p w14:paraId="2B371EF2" w14:textId="77777777" w:rsidR="00955E1C" w:rsidRPr="00B20947" w:rsidRDefault="00810D0E" w:rsidP="00313E91">
            <w:pPr>
              <w:spacing w:line="360" w:lineRule="auto"/>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0.925</w:t>
            </w:r>
          </w:p>
        </w:tc>
      </w:tr>
    </w:tbl>
    <w:p w14:paraId="47E412F9" w14:textId="77777777" w:rsidR="00955E1C" w:rsidRPr="00B20947" w:rsidRDefault="00955E1C" w:rsidP="00313E91">
      <w:pPr>
        <w:spacing w:line="360" w:lineRule="auto"/>
        <w:rPr>
          <w:rFonts w:ascii="Times New Roman" w:hAnsi="Times New Roman" w:cs="Times New Roman"/>
          <w:color w:val="000000" w:themeColor="text1"/>
        </w:rPr>
      </w:pPr>
    </w:p>
    <w:p w14:paraId="13B8C6E2" w14:textId="77777777"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 Future Possible Improvements</w:t>
      </w:r>
    </w:p>
    <w:p w14:paraId="03E0CD6F"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5.1 Transformer-Based Behavior Modeling</w:t>
      </w:r>
    </w:p>
    <w:p w14:paraId="6235D35E"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current Behavior Agent's LSTM architecture processes transaction sequences recurrently, which introduces a fundamental constraint: the model's representation of behavioral context is constrained by the LSTM's hid</w:t>
      </w:r>
      <w:r w:rsidRPr="00B20947">
        <w:rPr>
          <w:rFonts w:ascii="Times New Roman" w:hAnsi="Times New Roman" w:cs="Times New Roman"/>
          <w:color w:val="000000" w:themeColor="text1"/>
        </w:rPr>
        <w:t xml:space="preserve">den state capacity and is not directly interpretable. A promising future direction is to replace the LSTM with a transformer encoder trained on transaction sequences using a masked token prediction objective — analogous to BERT's masked language modeling, </w:t>
      </w:r>
      <w:r w:rsidRPr="00B20947">
        <w:rPr>
          <w:rFonts w:ascii="Times New Roman" w:hAnsi="Times New Roman" w:cs="Times New Roman"/>
          <w:color w:val="000000" w:themeColor="text1"/>
        </w:rPr>
        <w:t>but over transaction feature vectors rather than text tokens. This would provide explicit, interpretable attention weights showing which past transactions most influence the current anomaly score, facilitating auditor review of fraud decisions — a regulato</w:t>
      </w:r>
      <w:r w:rsidRPr="00B20947">
        <w:rPr>
          <w:rFonts w:ascii="Times New Roman" w:hAnsi="Times New Roman" w:cs="Times New Roman"/>
          <w:color w:val="000000" w:themeColor="text1"/>
        </w:rPr>
        <w:t>ry requirement under Nepal Rastra Bank's emerging AI governance guidelines.</w:t>
      </w:r>
    </w:p>
    <w:p w14:paraId="45FAB84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primary engineering challenge is inference latency: transformer forward passes scale quadratically with sequence length. A sparse attention mechanism (e.g., Longformer-style sl</w:t>
      </w:r>
      <w:r w:rsidRPr="00B20947">
        <w:rPr>
          <w:rFonts w:ascii="Times New Roman" w:hAnsi="Times New Roman" w:cs="Times New Roman"/>
          <w:color w:val="000000" w:themeColor="text1"/>
        </w:rPr>
        <w:t>iding-window attention) would reduce this to linear scaling, making transformer-based behavior modeling feasible within the 800ms latency budget for typical sequence lengths of 50-200 transactions.</w:t>
      </w:r>
    </w:p>
    <w:p w14:paraId="3E7B8029"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5.2 Federated Learning for Privacy-Preserving Personalizat</w:t>
      </w:r>
      <w:r w:rsidRPr="00B20947">
        <w:rPr>
          <w:rFonts w:ascii="Times New Roman" w:hAnsi="Times New Roman" w:cs="Times New Roman"/>
          <w:color w:val="000000" w:themeColor="text1"/>
        </w:rPr>
        <w:t>ion</w:t>
      </w:r>
    </w:p>
    <w:p w14:paraId="22F089FA"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current AFDF trains per-user LSTM models on transaction data stored centrally. This architecture raises legitimate privacy concerns: centralizing sensitive financial transaction histories creates a high-value target for data breaches. Federated lea</w:t>
      </w:r>
      <w:r w:rsidRPr="00B20947">
        <w:rPr>
          <w:rFonts w:ascii="Times New Roman" w:hAnsi="Times New Roman" w:cs="Times New Roman"/>
          <w:color w:val="000000" w:themeColor="text1"/>
        </w:rPr>
        <w:t>rning offers a compelling alternative in which each user's behavioral model is trained locally on their device (or on the payment platform's edge infrastructure), with only model gradient updates — not raw transaction data — transmitted to the central serv</w:t>
      </w:r>
      <w:r w:rsidRPr="00B20947">
        <w:rPr>
          <w:rFonts w:ascii="Times New Roman" w:hAnsi="Times New Roman" w:cs="Times New Roman"/>
          <w:color w:val="000000" w:themeColor="text1"/>
        </w:rPr>
        <w:t>er for aggregation.</w:t>
      </w:r>
    </w:p>
    <w:p w14:paraId="00E9F09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Google's FedAvg algorithm provides the baseline aggregation protocol, but its performance degrades significantly under the highly non-i.i.d. data distributions characteristic of per-user transaction histories. Personalized federated lea</w:t>
      </w:r>
      <w:r w:rsidRPr="00B20947">
        <w:rPr>
          <w:rFonts w:ascii="Times New Roman" w:hAnsi="Times New Roman" w:cs="Times New Roman"/>
          <w:color w:val="000000" w:themeColor="text1"/>
        </w:rPr>
        <w:t>rning methods such as pFedMe or MAML-based meta-learning approaches that maintain a global prior while allowing per-client fine-tuning would be better suited to this setting. Implementing federated learning for the Behavior Agent would reduce privacy expos</w:t>
      </w:r>
      <w:r w:rsidRPr="00B20947">
        <w:rPr>
          <w:rFonts w:ascii="Times New Roman" w:hAnsi="Times New Roman" w:cs="Times New Roman"/>
          <w:color w:val="000000" w:themeColor="text1"/>
        </w:rPr>
        <w:t>ure, potentially enable compliance with Nepal's forthcoming data protection legislation, and allow behavioral model updates without centralizing raw data.</w:t>
      </w:r>
    </w:p>
    <w:p w14:paraId="29BEE616"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5.3 Reinforcement Learning for Adaptive Thresholds</w:t>
      </w:r>
    </w:p>
    <w:p w14:paraId="1B8D93B1"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 Synthesis Agent currently applies a static decision threshold — transactions above a fixed fraud probability are classified as REVIEW or BLOCK. In practice, optimal thresholds vary with time of day, merchant category, and macroeconomic context (e.g., f</w:t>
      </w:r>
      <w:r w:rsidRPr="00B20947">
        <w:rPr>
          <w:rFonts w:ascii="Times New Roman" w:hAnsi="Times New Roman" w:cs="Times New Roman"/>
          <w:color w:val="000000" w:themeColor="text1"/>
        </w:rPr>
        <w:t>estival periods in Nepal when transaction volumes spike and legitimate behavioral anomalies increase). A reinforcement learning approach in which the Synthesis Agent's decision thresholds are modeled as a policy and learned through interaction with a rewar</w:t>
      </w:r>
      <w:r w:rsidRPr="00B20947">
        <w:rPr>
          <w:rFonts w:ascii="Times New Roman" w:hAnsi="Times New Roman" w:cs="Times New Roman"/>
          <w:color w:val="000000" w:themeColor="text1"/>
        </w:rPr>
        <w:t xml:space="preserve">d signal — where the reward </w:t>
      </w:r>
      <w:r w:rsidRPr="00B20947">
        <w:rPr>
          <w:rFonts w:ascii="Times New Roman" w:hAnsi="Times New Roman" w:cs="Times New Roman"/>
          <w:color w:val="000000" w:themeColor="text1"/>
        </w:rPr>
        <w:lastRenderedPageBreak/>
        <w:t>incorporates both fraud detection accuracy and false-positive penalty — would enable continuous, adaptive threshold optimization without requiring manual recalibration.</w:t>
      </w:r>
    </w:p>
    <w:p w14:paraId="2167A709"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A contextual bandit formulation is particularly appropriate</w:t>
      </w:r>
      <w:r w:rsidRPr="00B20947">
        <w:rPr>
          <w:rFonts w:ascii="Times New Roman" w:hAnsi="Times New Roman" w:cs="Times New Roman"/>
          <w:color w:val="000000" w:themeColor="text1"/>
        </w:rPr>
        <w:t>: the state space is the set of current system context variables (hour of day, transaction volume percentile, recent fraud rate), the action space is the decision threshold, and the reward is observed post-hoc from chargeback rates and customer complaint l</w:t>
      </w:r>
      <w:r w:rsidRPr="00B20947">
        <w:rPr>
          <w:rFonts w:ascii="Times New Roman" w:hAnsi="Times New Roman" w:cs="Times New Roman"/>
          <w:color w:val="000000" w:themeColor="text1"/>
        </w:rPr>
        <w:t>ogs. This architecture would allow AFDF to, for example, automatically relax thresholds during Dashain festival periods when elevated transaction volumes and atypical patterns are expected, and tighten them following a detected fraud campaign.</w:t>
      </w:r>
    </w:p>
    <w:p w14:paraId="207FC92B"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5.4 Cold-Sta</w:t>
      </w:r>
      <w:r w:rsidRPr="00B20947">
        <w:rPr>
          <w:rFonts w:ascii="Times New Roman" w:hAnsi="Times New Roman" w:cs="Times New Roman"/>
          <w:color w:val="000000" w:themeColor="text1"/>
        </w:rPr>
        <w:t>rt Mitigation via Cohort Priors</w:t>
      </w:r>
    </w:p>
    <w:p w14:paraId="61553DFD"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 xml:space="preserve">New users with fewer than ten transactions cannot support a meaningful per-user LSTM model. The current implementation falls back to a population-level Isolation Forest for cold-start users, which sacrifices personalization </w:t>
      </w:r>
      <w:r w:rsidRPr="00B20947">
        <w:rPr>
          <w:rFonts w:ascii="Times New Roman" w:hAnsi="Times New Roman" w:cs="Times New Roman"/>
          <w:color w:val="000000" w:themeColor="text1"/>
        </w:rPr>
        <w:t xml:space="preserve">accuracy. A structured cold-start approach would cluster new users into behavioral cohorts based on available demographic signals — registration location, device type, initial merchant categories — and initialize their LSTM model weights from the centroid </w:t>
      </w:r>
      <w:r w:rsidRPr="00B20947">
        <w:rPr>
          <w:rFonts w:ascii="Times New Roman" w:hAnsi="Times New Roman" w:cs="Times New Roman"/>
          <w:color w:val="000000" w:themeColor="text1"/>
        </w:rPr>
        <w:t>of the matching cohort's learned parameters.</w:t>
      </w:r>
    </w:p>
    <w:p w14:paraId="1E38006C"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This cohort-prior approach is analogous to few-shot learning meta-initialization: the user's behavioral model begins close to a reasonable prior and diverges toward personalization as more transactions are obser</w:t>
      </w:r>
      <w:r w:rsidRPr="00B20947">
        <w:rPr>
          <w:rFonts w:ascii="Times New Roman" w:hAnsi="Times New Roman" w:cs="Times New Roman"/>
          <w:color w:val="000000" w:themeColor="text1"/>
        </w:rPr>
        <w:t>ved. Cohort definitions should be updated periodically as the user population grows and behavioral patterns evolve. The Neo4j graph store's community detection capabilities (Louvain algorithm) provide a natural mechanism for maintaining dynamic cohort defi</w:t>
      </w:r>
      <w:r w:rsidRPr="00B20947">
        <w:rPr>
          <w:rFonts w:ascii="Times New Roman" w:hAnsi="Times New Roman" w:cs="Times New Roman"/>
          <w:color w:val="000000" w:themeColor="text1"/>
        </w:rPr>
        <w:t>nitions based on transaction graph proximity.</w:t>
      </w:r>
    </w:p>
    <w:p w14:paraId="6574E16F"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5.5 Explainability and Regulatory Reporting</w:t>
      </w:r>
    </w:p>
    <w:p w14:paraId="4FF953FD"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As financial regulators in Nepal and across South Asia move toward AI governance frameworks that require explainability of automated decisions, the AFDF must provide human-readable justifications for BLOCK and REVIEW verdicts. The current architecture does</w:t>
      </w:r>
      <w:r w:rsidRPr="00B20947">
        <w:rPr>
          <w:rFonts w:ascii="Times New Roman" w:hAnsi="Times New Roman" w:cs="Times New Roman"/>
          <w:color w:val="000000" w:themeColor="text1"/>
        </w:rPr>
        <w:t xml:space="preserve"> not natively produce explanations. Future work should integrate SHAP (SHapley Additive exPlanations) values for the LSTM and Random Forest components, and attention weight visualization for the GNN, to produce per-transaction explanations of the form: 'Tr</w:t>
      </w:r>
      <w:r w:rsidRPr="00B20947">
        <w:rPr>
          <w:rFonts w:ascii="Times New Roman" w:hAnsi="Times New Roman" w:cs="Times New Roman"/>
          <w:color w:val="000000" w:themeColor="text1"/>
        </w:rPr>
        <w:t>ansaction blocked primarily due to geographic impossibility (43% of decision weight) and previously unseen device (28% of decision weight).'</w:t>
      </w:r>
    </w:p>
    <w:p w14:paraId="2B17E3A2"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These explanations serve dual purposes: they enable compliance with regulatory explanation requirements, and they p</w:t>
      </w:r>
      <w:r w:rsidRPr="00B20947">
        <w:rPr>
          <w:rFonts w:ascii="Times New Roman" w:hAnsi="Times New Roman" w:cs="Times New Roman"/>
          <w:color w:val="000000" w:themeColor="text1"/>
        </w:rPr>
        <w:t>rovide the human review team with actionable context for manual review of escalated cases — reducing review time and improving consistency across reviewers.</w:t>
      </w:r>
    </w:p>
    <w:p w14:paraId="4E8485B5" w14:textId="77777777" w:rsidR="00955E1C" w:rsidRPr="00B20947" w:rsidRDefault="00810D0E" w:rsidP="00313E91">
      <w:pPr>
        <w:pStyle w:val="Heading2"/>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t>5.6 Biometric Binding for OTP Escalation</w:t>
      </w:r>
    </w:p>
    <w:p w14:paraId="4D0A5203"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 xml:space="preserve">The dual-path OTP Interlock is effective against SIM-swap </w:t>
      </w:r>
      <w:r w:rsidRPr="00B20947">
        <w:rPr>
          <w:rFonts w:ascii="Times New Roman" w:hAnsi="Times New Roman" w:cs="Times New Roman"/>
          <w:color w:val="000000" w:themeColor="text1"/>
        </w:rPr>
        <w:t>attacks but remains vulnerable to a coordinated adversary who controls both the victim's SMS and email channels. A stronger future escalation path would bind authentication to a biometric factor — specifically, a FIDO2-compliant passkey stored in the secur</w:t>
      </w:r>
      <w:r w:rsidRPr="00B20947">
        <w:rPr>
          <w:rFonts w:ascii="Times New Roman" w:hAnsi="Times New Roman" w:cs="Times New Roman"/>
          <w:color w:val="000000" w:themeColor="text1"/>
        </w:rPr>
        <w:t xml:space="preserve">e enclave of the user's registered mobile device. When both primary OTP channels fail, the system would demand a biometric-backed passkey assertion rather than a third soft-token OTP. Because the passkey is bound to a specific hardware device and requires </w:t>
      </w:r>
      <w:r w:rsidRPr="00B20947">
        <w:rPr>
          <w:rFonts w:ascii="Times New Roman" w:hAnsi="Times New Roman" w:cs="Times New Roman"/>
          <w:color w:val="000000" w:themeColor="text1"/>
        </w:rPr>
        <w:t>biometric confirmation (fingerprint or face ID), it is resilient against the class of remote account takeover attacks that exploit channel portability.</w:t>
      </w:r>
    </w:p>
    <w:p w14:paraId="1FF90E17" w14:textId="77777777" w:rsidR="00955E1C" w:rsidRPr="00B20947" w:rsidRDefault="00810D0E" w:rsidP="00313E91">
      <w:pPr>
        <w:spacing w:before="80" w:after="120" w:line="360" w:lineRule="auto"/>
        <w:jc w:val="both"/>
        <w:rPr>
          <w:rFonts w:ascii="Times New Roman" w:hAnsi="Times New Roman" w:cs="Times New Roman"/>
          <w:color w:val="000000" w:themeColor="text1"/>
        </w:rPr>
      </w:pPr>
      <w:r w:rsidRPr="00B20947">
        <w:rPr>
          <w:rFonts w:ascii="Times New Roman" w:hAnsi="Times New Roman" w:cs="Times New Roman"/>
          <w:color w:val="000000" w:themeColor="text1"/>
        </w:rPr>
        <w:t>Integration with the FIDO Alliance's WebAuthn standard would allow this escalation path to be implemente</w:t>
      </w:r>
      <w:r w:rsidRPr="00B20947">
        <w:rPr>
          <w:rFonts w:ascii="Times New Roman" w:hAnsi="Times New Roman" w:cs="Times New Roman"/>
          <w:color w:val="000000" w:themeColor="text1"/>
        </w:rPr>
        <w:t>d without proprietary biometric infrastructure, leveraging the secure enclave capabilities already present in modern Android and iOS devices prevalent in Nepal's smartphone market.</w:t>
      </w:r>
    </w:p>
    <w:p w14:paraId="7289731C" w14:textId="77777777" w:rsidR="00460A49" w:rsidRDefault="00460A49">
      <w:pPr>
        <w:rPr>
          <w:rFonts w:ascii="Times New Roman" w:hAnsi="Times New Roman" w:cs="Times New Roman"/>
          <w:b/>
          <w:bCs/>
          <w:color w:val="000000" w:themeColor="text1"/>
          <w:sz w:val="30"/>
          <w:szCs w:val="30"/>
        </w:rPr>
      </w:pPr>
      <w:r>
        <w:rPr>
          <w:rFonts w:ascii="Times New Roman" w:hAnsi="Times New Roman" w:cs="Times New Roman"/>
          <w:color w:val="000000" w:themeColor="text1"/>
        </w:rPr>
        <w:br w:type="page"/>
      </w:r>
    </w:p>
    <w:p w14:paraId="309E4965" w14:textId="23E71125" w:rsidR="00955E1C" w:rsidRPr="00B20947" w:rsidRDefault="00810D0E" w:rsidP="00313E91">
      <w:pPr>
        <w:pStyle w:val="Heading1"/>
        <w:spacing w:line="360" w:lineRule="auto"/>
        <w:rPr>
          <w:rFonts w:ascii="Times New Roman" w:hAnsi="Times New Roman" w:cs="Times New Roman"/>
          <w:color w:val="000000" w:themeColor="text1"/>
        </w:rPr>
      </w:pPr>
      <w:r w:rsidRPr="00B20947">
        <w:rPr>
          <w:rFonts w:ascii="Times New Roman" w:hAnsi="Times New Roman" w:cs="Times New Roman"/>
          <w:color w:val="000000" w:themeColor="text1"/>
        </w:rPr>
        <w:lastRenderedPageBreak/>
        <w:t>References</w:t>
      </w:r>
    </w:p>
    <w:p w14:paraId="09868377"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  </w:t>
      </w:r>
      <w:r w:rsidRPr="00B20947">
        <w:rPr>
          <w:rFonts w:ascii="Times New Roman" w:hAnsi="Times New Roman" w:cs="Times New Roman"/>
          <w:color w:val="000000" w:themeColor="text1"/>
          <w:sz w:val="20"/>
          <w:szCs w:val="20"/>
        </w:rPr>
        <w:t>Aleskerov, E., Freisleben, B., and Rao, B. (1997). CARDWA</w:t>
      </w:r>
      <w:r w:rsidRPr="00B20947">
        <w:rPr>
          <w:rFonts w:ascii="Times New Roman" w:hAnsi="Times New Roman" w:cs="Times New Roman"/>
          <w:color w:val="000000" w:themeColor="text1"/>
          <w:sz w:val="20"/>
          <w:szCs w:val="20"/>
        </w:rPr>
        <w:t>TCH: A neural network based database mining system for credit card fraud detection. Proceedings of the IEEE/IAFE Conference on Computational Intelligence for Financial Engineering, pp. 220–226.</w:t>
      </w:r>
    </w:p>
    <w:p w14:paraId="086E2062"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[2]  </w:t>
      </w:r>
      <w:r w:rsidRPr="00B20947">
        <w:rPr>
          <w:rFonts w:ascii="Times New Roman" w:hAnsi="Times New Roman" w:cs="Times New Roman"/>
          <w:color w:val="000000" w:themeColor="text1"/>
          <w:sz w:val="20"/>
          <w:szCs w:val="20"/>
        </w:rPr>
        <w:t>Bolton, R. J. and Hand, D. J. (2002). Statistical fraud d</w:t>
      </w:r>
      <w:r w:rsidRPr="00B20947">
        <w:rPr>
          <w:rFonts w:ascii="Times New Roman" w:hAnsi="Times New Roman" w:cs="Times New Roman"/>
          <w:color w:val="000000" w:themeColor="text1"/>
          <w:sz w:val="20"/>
          <w:szCs w:val="20"/>
        </w:rPr>
        <w:t>etection: A review. Statistical Science, 17(3), 235–255.</w:t>
      </w:r>
    </w:p>
    <w:p w14:paraId="03DD1344"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[3]  </w:t>
      </w:r>
      <w:r w:rsidRPr="00B20947">
        <w:rPr>
          <w:rFonts w:ascii="Times New Roman" w:hAnsi="Times New Roman" w:cs="Times New Roman"/>
          <w:color w:val="000000" w:themeColor="text1"/>
          <w:sz w:val="20"/>
          <w:szCs w:val="20"/>
        </w:rPr>
        <w:t>Liu, F. T., Ting, K. M., and Zhou, Z.-H. (2008). Isolation Forest. Proceedings of the IEEE International Conference on Data Mining (ICDM), pp. 413–422.</w:t>
      </w:r>
    </w:p>
    <w:p w14:paraId="5338CC01"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[4]  </w:t>
      </w:r>
      <w:r w:rsidRPr="00B20947">
        <w:rPr>
          <w:rFonts w:ascii="Times New Roman" w:hAnsi="Times New Roman" w:cs="Times New Roman"/>
          <w:color w:val="000000" w:themeColor="text1"/>
          <w:sz w:val="20"/>
          <w:szCs w:val="20"/>
        </w:rPr>
        <w:t>Jurgovsky, J., Granitzer, M., Ziegler</w:t>
      </w:r>
      <w:r w:rsidRPr="00B20947">
        <w:rPr>
          <w:rFonts w:ascii="Times New Roman" w:hAnsi="Times New Roman" w:cs="Times New Roman"/>
          <w:color w:val="000000" w:themeColor="text1"/>
          <w:sz w:val="20"/>
          <w:szCs w:val="20"/>
        </w:rPr>
        <w:t>, K., Calabretto, S., Lorenz, P.-M., He-Guelton, L., and Caelen, O. (2018). Sequence classification for credit-card fraud detection. Expert Systems with Applications, 100, 234–245.</w:t>
      </w:r>
    </w:p>
    <w:p w14:paraId="44F713F6"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[5]  </w:t>
      </w:r>
      <w:r w:rsidRPr="00B20947">
        <w:rPr>
          <w:rFonts w:ascii="Times New Roman" w:hAnsi="Times New Roman" w:cs="Times New Roman"/>
          <w:color w:val="000000" w:themeColor="text1"/>
          <w:sz w:val="20"/>
          <w:szCs w:val="20"/>
        </w:rPr>
        <w:t>Roy, A. and Sun, J. (2021). Towards a comprehensive understanding of f</w:t>
      </w:r>
      <w:r w:rsidRPr="00B20947">
        <w:rPr>
          <w:rFonts w:ascii="Times New Roman" w:hAnsi="Times New Roman" w:cs="Times New Roman"/>
          <w:color w:val="000000" w:themeColor="text1"/>
          <w:sz w:val="20"/>
          <w:szCs w:val="20"/>
        </w:rPr>
        <w:t>raud detection using deep learning: A survey. Proceedings of the IEEE International Conference on Big Data, pp. 2984–2990.</w:t>
      </w:r>
    </w:p>
    <w:p w14:paraId="55C596CA"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[6]  </w:t>
      </w:r>
      <w:r w:rsidRPr="00B20947">
        <w:rPr>
          <w:rFonts w:ascii="Times New Roman" w:hAnsi="Times New Roman" w:cs="Times New Roman"/>
          <w:color w:val="000000" w:themeColor="text1"/>
          <w:sz w:val="20"/>
          <w:szCs w:val="20"/>
        </w:rPr>
        <w:t xml:space="preserve">Wang, D., Lin, J., Cui, P., Jia, Q., Wang, Z., Fang, Y., Yu, Q., Zhou, J., Yang, S., and Qi, Y. (2019). A semi-supervised graph </w:t>
      </w:r>
      <w:r w:rsidRPr="00B20947">
        <w:rPr>
          <w:rFonts w:ascii="Times New Roman" w:hAnsi="Times New Roman" w:cs="Times New Roman"/>
          <w:color w:val="000000" w:themeColor="text1"/>
          <w:sz w:val="20"/>
          <w:szCs w:val="20"/>
        </w:rPr>
        <w:t>attentive network for financial fraud detection. Proceedings of the IEEE International Conference on Data Mining (ICDM), pp. 598–607.</w:t>
      </w:r>
    </w:p>
    <w:p w14:paraId="183695BB"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[7]  </w:t>
      </w:r>
      <w:r w:rsidRPr="00B20947">
        <w:rPr>
          <w:rFonts w:ascii="Times New Roman" w:hAnsi="Times New Roman" w:cs="Times New Roman"/>
          <w:color w:val="000000" w:themeColor="text1"/>
          <w:sz w:val="20"/>
          <w:szCs w:val="20"/>
        </w:rPr>
        <w:t>Liu, Z., Dou, Y., Yu, P. S., Deng, X., and Peng, H. (2020). Alleviating the inconsistency problem of applying graph n</w:t>
      </w:r>
      <w:r w:rsidRPr="00B20947">
        <w:rPr>
          <w:rFonts w:ascii="Times New Roman" w:hAnsi="Times New Roman" w:cs="Times New Roman"/>
          <w:color w:val="000000" w:themeColor="text1"/>
          <w:sz w:val="20"/>
          <w:szCs w:val="20"/>
        </w:rPr>
        <w:t>eural network to fraud detection. Proceedings of the 43rd International ACM SIGIR Conference on Research and Development in Information Retrieval, pp. 1569–1572.</w:t>
      </w:r>
    </w:p>
    <w:p w14:paraId="011AF251"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[8]  </w:t>
      </w:r>
      <w:r w:rsidRPr="00B20947">
        <w:rPr>
          <w:rFonts w:ascii="Times New Roman" w:hAnsi="Times New Roman" w:cs="Times New Roman"/>
          <w:color w:val="000000" w:themeColor="text1"/>
          <w:sz w:val="20"/>
          <w:szCs w:val="20"/>
        </w:rPr>
        <w:t xml:space="preserve">Bhattacharyya, S., Jha, S., Tharakunnel, K., and Westland, J. C. (2011). Data mining for </w:t>
      </w:r>
      <w:r w:rsidRPr="00B20947">
        <w:rPr>
          <w:rFonts w:ascii="Times New Roman" w:hAnsi="Times New Roman" w:cs="Times New Roman"/>
          <w:color w:val="000000" w:themeColor="text1"/>
          <w:sz w:val="20"/>
          <w:szCs w:val="20"/>
        </w:rPr>
        <w:t>credit card fraud: A comparative study. Decision Support Systems, 50(3), 602–613.</w:t>
      </w:r>
    </w:p>
    <w:p w14:paraId="01CEB691"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[9]  </w:t>
      </w:r>
      <w:r w:rsidRPr="00B20947">
        <w:rPr>
          <w:rFonts w:ascii="Times New Roman" w:hAnsi="Times New Roman" w:cs="Times New Roman"/>
          <w:color w:val="000000" w:themeColor="text1"/>
          <w:sz w:val="20"/>
          <w:szCs w:val="20"/>
        </w:rPr>
        <w:t>Bahnsen, A. C., Aouada, D., Stojanovic, A., and Ottersten, B. (2016). Feature engineering strategies for credit card fraud detection. Expert Systems with Applications, 5</w:t>
      </w:r>
      <w:r w:rsidRPr="00B20947">
        <w:rPr>
          <w:rFonts w:ascii="Times New Roman" w:hAnsi="Times New Roman" w:cs="Times New Roman"/>
          <w:color w:val="000000" w:themeColor="text1"/>
          <w:sz w:val="20"/>
          <w:szCs w:val="20"/>
        </w:rPr>
        <w:t>1, 134–142.</w:t>
      </w:r>
    </w:p>
    <w:p w14:paraId="723E816F"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[10]  </w:t>
      </w:r>
      <w:r w:rsidRPr="00B20947">
        <w:rPr>
          <w:rFonts w:ascii="Times New Roman" w:hAnsi="Times New Roman" w:cs="Times New Roman"/>
          <w:color w:val="000000" w:themeColor="text1"/>
          <w:sz w:val="20"/>
          <w:szCs w:val="20"/>
        </w:rPr>
        <w:t>Jover, R. P. and Lackey, J. (2020). SIM swap fraud and telephone number portability attacks. IEEE Communications Magazine, 58(9), 48–54.</w:t>
      </w:r>
    </w:p>
    <w:p w14:paraId="62F883D5"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[11]  </w:t>
      </w:r>
      <w:r w:rsidRPr="00B20947">
        <w:rPr>
          <w:rFonts w:ascii="Times New Roman" w:hAnsi="Times New Roman" w:cs="Times New Roman"/>
          <w:color w:val="000000" w:themeColor="text1"/>
          <w:sz w:val="20"/>
          <w:szCs w:val="20"/>
        </w:rPr>
        <w:t>Grassi, P. A., Garcia, M. E., and Fenton, J. L. (2017). NIST Special Publication 800-63B: Digital Identity Guidel</w:t>
      </w:r>
      <w:r w:rsidRPr="00B20947">
        <w:rPr>
          <w:rFonts w:ascii="Times New Roman" w:hAnsi="Times New Roman" w:cs="Times New Roman"/>
          <w:color w:val="000000" w:themeColor="text1"/>
          <w:sz w:val="20"/>
          <w:szCs w:val="20"/>
        </w:rPr>
        <w:t>ines — Authentication and Lifecycle Management. National Institute of Standards and Technology.</w:t>
      </w:r>
    </w:p>
    <w:p w14:paraId="72E6614F"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[12]  </w:t>
      </w:r>
      <w:r w:rsidRPr="00B20947">
        <w:rPr>
          <w:rFonts w:ascii="Times New Roman" w:hAnsi="Times New Roman" w:cs="Times New Roman"/>
          <w:color w:val="000000" w:themeColor="text1"/>
          <w:sz w:val="20"/>
          <w:szCs w:val="20"/>
        </w:rPr>
        <w:t>Hamilton, W. L., Ying, R., and Leskovec, J. (2017). Inductive representation learning on large graphs. Advances in Neural Information Processing Systems (</w:t>
      </w:r>
      <w:r w:rsidRPr="00B20947">
        <w:rPr>
          <w:rFonts w:ascii="Times New Roman" w:hAnsi="Times New Roman" w:cs="Times New Roman"/>
          <w:color w:val="000000" w:themeColor="text1"/>
          <w:sz w:val="20"/>
          <w:szCs w:val="20"/>
        </w:rPr>
        <w:t>NeurIPS), 30.</w:t>
      </w:r>
    </w:p>
    <w:p w14:paraId="0B30193A"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[13]  </w:t>
      </w:r>
      <w:r w:rsidRPr="00B20947">
        <w:rPr>
          <w:rFonts w:ascii="Times New Roman" w:hAnsi="Times New Roman" w:cs="Times New Roman"/>
          <w:color w:val="000000" w:themeColor="text1"/>
          <w:sz w:val="20"/>
          <w:szCs w:val="20"/>
        </w:rPr>
        <w:t>Veličković, P., Cucurull, G., Casanova, A., Romero, A., Liò, P., and Bengio, Y. (2018). Graph Attention Networks. International Conference on Learning Representations (ICLR).</w:t>
      </w:r>
    </w:p>
    <w:p w14:paraId="4F446D8F"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[14]  </w:t>
      </w:r>
      <w:r w:rsidRPr="00B20947">
        <w:rPr>
          <w:rFonts w:ascii="Times New Roman" w:hAnsi="Times New Roman" w:cs="Times New Roman"/>
          <w:color w:val="000000" w:themeColor="text1"/>
          <w:sz w:val="20"/>
          <w:szCs w:val="20"/>
        </w:rPr>
        <w:t>Hochreiter, S. and Schmidhuber, J. (1997). Long Short-T</w:t>
      </w:r>
      <w:r w:rsidRPr="00B20947">
        <w:rPr>
          <w:rFonts w:ascii="Times New Roman" w:hAnsi="Times New Roman" w:cs="Times New Roman"/>
          <w:color w:val="000000" w:themeColor="text1"/>
          <w:sz w:val="20"/>
          <w:szCs w:val="20"/>
        </w:rPr>
        <w:t>erm Memory. Neural Computation, 9(8), 1735–1780.</w:t>
      </w:r>
    </w:p>
    <w:p w14:paraId="0F2BD63A"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[15]  </w:t>
      </w:r>
      <w:r w:rsidRPr="00B20947">
        <w:rPr>
          <w:rFonts w:ascii="Times New Roman" w:hAnsi="Times New Roman" w:cs="Times New Roman"/>
          <w:color w:val="000000" w:themeColor="text1"/>
          <w:sz w:val="20"/>
          <w:szCs w:val="20"/>
        </w:rPr>
        <w:t>IEEE-CIS Fraud Detection Dataset. (2019). Kaggle Competition hosted by Vesta Corporation. Available at: https://www.kaggle.com/c/ieee-fraud-detection</w:t>
      </w:r>
    </w:p>
    <w:p w14:paraId="1FC6294B"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[16]  </w:t>
      </w:r>
      <w:r w:rsidRPr="00B20947">
        <w:rPr>
          <w:rFonts w:ascii="Times New Roman" w:hAnsi="Times New Roman" w:cs="Times New Roman"/>
          <w:color w:val="000000" w:themeColor="text1"/>
          <w:sz w:val="20"/>
          <w:szCs w:val="20"/>
        </w:rPr>
        <w:t>Nepal Rastra Bank. (2023). Financial Stability Report 2022/23. Nepal Rastra Bank Research Department, Kathmandu, Nepal.</w:t>
      </w:r>
    </w:p>
    <w:p w14:paraId="102ADAE5"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[17]  </w:t>
      </w:r>
      <w:r w:rsidRPr="00B20947">
        <w:rPr>
          <w:rFonts w:ascii="Times New Roman" w:hAnsi="Times New Roman" w:cs="Times New Roman"/>
          <w:color w:val="000000" w:themeColor="text1"/>
          <w:sz w:val="20"/>
          <w:szCs w:val="20"/>
        </w:rPr>
        <w:t>FIDO Alliance. (2021). FIDO2: Web Authentication (WebAuthn) Specification, Level 2. W3C Candidate Recommendation. Available at: ht</w:t>
      </w:r>
      <w:r w:rsidRPr="00B20947">
        <w:rPr>
          <w:rFonts w:ascii="Times New Roman" w:hAnsi="Times New Roman" w:cs="Times New Roman"/>
          <w:color w:val="000000" w:themeColor="text1"/>
          <w:sz w:val="20"/>
          <w:szCs w:val="20"/>
        </w:rPr>
        <w:t>tps://www.w3.org/TR/webauthn-2/</w:t>
      </w:r>
    </w:p>
    <w:p w14:paraId="571C42F4"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lastRenderedPageBreak/>
        <w:t xml:space="preserve">[18]  </w:t>
      </w:r>
      <w:r w:rsidRPr="00B20947">
        <w:rPr>
          <w:rFonts w:ascii="Times New Roman" w:hAnsi="Times New Roman" w:cs="Times New Roman"/>
          <w:color w:val="000000" w:themeColor="text1"/>
          <w:sz w:val="20"/>
          <w:szCs w:val="20"/>
        </w:rPr>
        <w:t>Li, T., Sahu, A. K., Talwalkar, A., and Smith, V. (2020). Federated learning: Challenges, methods, and future directions. IEEE Signal Processing Magazine, 37(3), 50–60.</w:t>
      </w:r>
    </w:p>
    <w:p w14:paraId="72417A95"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[19]  </w:t>
      </w:r>
      <w:r w:rsidRPr="00B20947">
        <w:rPr>
          <w:rFonts w:ascii="Times New Roman" w:hAnsi="Times New Roman" w:cs="Times New Roman"/>
          <w:color w:val="000000" w:themeColor="text1"/>
          <w:sz w:val="20"/>
          <w:szCs w:val="20"/>
        </w:rPr>
        <w:t>Lundberg, S. M. and Lee, S.-I. (2017). A un</w:t>
      </w:r>
      <w:r w:rsidRPr="00B20947">
        <w:rPr>
          <w:rFonts w:ascii="Times New Roman" w:hAnsi="Times New Roman" w:cs="Times New Roman"/>
          <w:color w:val="000000" w:themeColor="text1"/>
          <w:sz w:val="20"/>
          <w:szCs w:val="20"/>
        </w:rPr>
        <w:t>ified approach to interpreting model predictions. Advances in Neural Information Processing Systems (NeurIPS), 30, 4765–4774.</w:t>
      </w:r>
    </w:p>
    <w:p w14:paraId="55088E34" w14:textId="77777777" w:rsidR="00955E1C" w:rsidRPr="00B20947" w:rsidRDefault="00810D0E" w:rsidP="00313E91">
      <w:pPr>
        <w:spacing w:before="60" w:after="60" w:line="360" w:lineRule="auto"/>
        <w:ind w:left="720" w:hanging="720"/>
        <w:rPr>
          <w:rFonts w:ascii="Times New Roman" w:hAnsi="Times New Roman" w:cs="Times New Roman"/>
          <w:color w:val="000000" w:themeColor="text1"/>
        </w:rPr>
      </w:pPr>
      <w:r w:rsidRPr="00B20947">
        <w:rPr>
          <w:rFonts w:ascii="Times New Roman" w:hAnsi="Times New Roman" w:cs="Times New Roman"/>
          <w:b/>
          <w:bCs/>
          <w:color w:val="000000" w:themeColor="text1"/>
          <w:sz w:val="20"/>
          <w:szCs w:val="20"/>
        </w:rPr>
        <w:t xml:space="preserve">[20]  </w:t>
      </w:r>
      <w:r w:rsidRPr="00B20947">
        <w:rPr>
          <w:rFonts w:ascii="Times New Roman" w:hAnsi="Times New Roman" w:cs="Times New Roman"/>
          <w:color w:val="000000" w:themeColor="text1"/>
          <w:sz w:val="20"/>
          <w:szCs w:val="20"/>
        </w:rPr>
        <w:t>Fawaz, H. I., Forestier, G., Weber, J., Idoumghar, L., and Muller, P.-A. (2019). Deep learning for time series classificatio</w:t>
      </w:r>
      <w:r w:rsidRPr="00B20947">
        <w:rPr>
          <w:rFonts w:ascii="Times New Roman" w:hAnsi="Times New Roman" w:cs="Times New Roman"/>
          <w:color w:val="000000" w:themeColor="text1"/>
          <w:sz w:val="20"/>
          <w:szCs w:val="20"/>
        </w:rPr>
        <w:t>n: A review. Data Mining and Knowledge Discovery, 33(4), 917–963.</w:t>
      </w:r>
    </w:p>
    <w:sectPr w:rsidR="00955E1C" w:rsidRPr="00B20947">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188E7C" w14:textId="77777777" w:rsidR="00810D0E" w:rsidRDefault="00810D0E">
      <w:r>
        <w:separator/>
      </w:r>
    </w:p>
  </w:endnote>
  <w:endnote w:type="continuationSeparator" w:id="0">
    <w:p w14:paraId="159DB809" w14:textId="77777777" w:rsidR="00810D0E" w:rsidRDefault="0081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9631E" w14:textId="67E67CAE" w:rsidR="00955E1C" w:rsidRDefault="00955E1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B0EB1C" w14:textId="77777777" w:rsidR="00810D0E" w:rsidRDefault="00810D0E">
      <w:r>
        <w:separator/>
      </w:r>
    </w:p>
  </w:footnote>
  <w:footnote w:type="continuationSeparator" w:id="0">
    <w:p w14:paraId="223095FC" w14:textId="77777777" w:rsidR="00810D0E" w:rsidRDefault="0081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9D5621" w14:textId="77777777" w:rsidR="00955E1C" w:rsidRDefault="00955E1C" w:rsidP="00313E91">
    <w:pP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57108"/>
    <w:multiLevelType w:val="hybridMultilevel"/>
    <w:tmpl w:val="3B86D168"/>
    <w:lvl w:ilvl="0" w:tplc="2AC2E220">
      <w:start w:val="1"/>
      <w:numFmt w:val="bullet"/>
      <w:lvlText w:val="●"/>
      <w:lvlJc w:val="left"/>
      <w:pPr>
        <w:ind w:left="720" w:hanging="360"/>
      </w:pPr>
    </w:lvl>
    <w:lvl w:ilvl="1" w:tplc="9B1E7694">
      <w:start w:val="1"/>
      <w:numFmt w:val="bullet"/>
      <w:lvlText w:val="○"/>
      <w:lvlJc w:val="left"/>
      <w:pPr>
        <w:ind w:left="1440" w:hanging="360"/>
      </w:pPr>
    </w:lvl>
    <w:lvl w:ilvl="2" w:tplc="81981278">
      <w:start w:val="1"/>
      <w:numFmt w:val="bullet"/>
      <w:lvlText w:val="■"/>
      <w:lvlJc w:val="left"/>
      <w:pPr>
        <w:ind w:left="2160" w:hanging="360"/>
      </w:pPr>
    </w:lvl>
    <w:lvl w:ilvl="3" w:tplc="0AC81262">
      <w:start w:val="1"/>
      <w:numFmt w:val="bullet"/>
      <w:lvlText w:val="●"/>
      <w:lvlJc w:val="left"/>
      <w:pPr>
        <w:ind w:left="2880" w:hanging="360"/>
      </w:pPr>
    </w:lvl>
    <w:lvl w:ilvl="4" w:tplc="83B8C3D0">
      <w:start w:val="1"/>
      <w:numFmt w:val="bullet"/>
      <w:lvlText w:val="○"/>
      <w:lvlJc w:val="left"/>
      <w:pPr>
        <w:ind w:left="3600" w:hanging="360"/>
      </w:pPr>
    </w:lvl>
    <w:lvl w:ilvl="5" w:tplc="AB10FF48">
      <w:start w:val="1"/>
      <w:numFmt w:val="bullet"/>
      <w:lvlText w:val="■"/>
      <w:lvlJc w:val="left"/>
      <w:pPr>
        <w:ind w:left="4320" w:hanging="360"/>
      </w:pPr>
    </w:lvl>
    <w:lvl w:ilvl="6" w:tplc="FF58711E">
      <w:start w:val="1"/>
      <w:numFmt w:val="bullet"/>
      <w:lvlText w:val="●"/>
      <w:lvlJc w:val="left"/>
      <w:pPr>
        <w:ind w:left="5040" w:hanging="360"/>
      </w:pPr>
    </w:lvl>
    <w:lvl w:ilvl="7" w:tplc="EF564F20">
      <w:start w:val="1"/>
      <w:numFmt w:val="bullet"/>
      <w:lvlText w:val="●"/>
      <w:lvlJc w:val="left"/>
      <w:pPr>
        <w:ind w:left="5760" w:hanging="360"/>
      </w:pPr>
    </w:lvl>
    <w:lvl w:ilvl="8" w:tplc="D6783BFE">
      <w:start w:val="1"/>
      <w:numFmt w:val="bullet"/>
      <w:lvlText w:val="●"/>
      <w:lvlJc w:val="left"/>
      <w:pPr>
        <w:ind w:left="6480" w:hanging="360"/>
      </w:pPr>
    </w:lvl>
  </w:abstractNum>
  <w:abstractNum w:abstractNumId="1" w15:restartNumberingAfterBreak="0">
    <w:nsid w:val="21796328"/>
    <w:multiLevelType w:val="hybridMultilevel"/>
    <w:tmpl w:val="A646436A"/>
    <w:lvl w:ilvl="0" w:tplc="9F5E5012">
      <w:start w:val="1"/>
      <w:numFmt w:val="decimal"/>
      <w:lvlText w:val="%1."/>
      <w:lvlJc w:val="left"/>
      <w:pPr>
        <w:spacing w:before="60" w:after="60"/>
        <w:ind w:left="720" w:hanging="360"/>
      </w:pPr>
    </w:lvl>
    <w:lvl w:ilvl="1" w:tplc="3D52EAD6">
      <w:numFmt w:val="decimal"/>
      <w:lvlText w:val=""/>
      <w:lvlJc w:val="left"/>
    </w:lvl>
    <w:lvl w:ilvl="2" w:tplc="B596CCB2">
      <w:numFmt w:val="decimal"/>
      <w:lvlText w:val=""/>
      <w:lvlJc w:val="left"/>
    </w:lvl>
    <w:lvl w:ilvl="3" w:tplc="7A7423B4">
      <w:numFmt w:val="decimal"/>
      <w:lvlText w:val=""/>
      <w:lvlJc w:val="left"/>
    </w:lvl>
    <w:lvl w:ilvl="4" w:tplc="1F10EA02">
      <w:numFmt w:val="decimal"/>
      <w:lvlText w:val=""/>
      <w:lvlJc w:val="left"/>
    </w:lvl>
    <w:lvl w:ilvl="5" w:tplc="FC34EDF6">
      <w:numFmt w:val="decimal"/>
      <w:lvlText w:val=""/>
      <w:lvlJc w:val="left"/>
    </w:lvl>
    <w:lvl w:ilvl="6" w:tplc="80B4E274">
      <w:numFmt w:val="decimal"/>
      <w:lvlText w:val=""/>
      <w:lvlJc w:val="left"/>
    </w:lvl>
    <w:lvl w:ilvl="7" w:tplc="14D6C3A6">
      <w:numFmt w:val="decimal"/>
      <w:lvlText w:val=""/>
      <w:lvlJc w:val="left"/>
    </w:lvl>
    <w:lvl w:ilvl="8" w:tplc="34260470">
      <w:numFmt w:val="decimal"/>
      <w:lvlText w:val=""/>
      <w:lvlJc w:val="left"/>
    </w:lvl>
  </w:abstractNum>
  <w:abstractNum w:abstractNumId="2" w15:restartNumberingAfterBreak="0">
    <w:nsid w:val="78B62CA4"/>
    <w:multiLevelType w:val="multilevel"/>
    <w:tmpl w:val="7C86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3E6776"/>
    <w:multiLevelType w:val="hybridMultilevel"/>
    <w:tmpl w:val="AC70B55C"/>
    <w:lvl w:ilvl="0" w:tplc="41CCB536">
      <w:start w:val="1"/>
      <w:numFmt w:val="bullet"/>
      <w:lvlText w:val="•"/>
      <w:lvlJc w:val="left"/>
      <w:pPr>
        <w:spacing w:before="60" w:after="60"/>
        <w:ind w:left="720" w:hanging="360"/>
      </w:pPr>
    </w:lvl>
    <w:lvl w:ilvl="1" w:tplc="5CDE1002">
      <w:start w:val="1"/>
      <w:numFmt w:val="bullet"/>
      <w:lvlText w:val="◦"/>
      <w:lvlJc w:val="left"/>
      <w:pPr>
        <w:spacing w:before="40" w:after="40"/>
        <w:ind w:left="1080" w:hanging="360"/>
      </w:pPr>
    </w:lvl>
    <w:lvl w:ilvl="2" w:tplc="7D4A19D2">
      <w:numFmt w:val="decimal"/>
      <w:lvlText w:val=""/>
      <w:lvlJc w:val="left"/>
    </w:lvl>
    <w:lvl w:ilvl="3" w:tplc="DCE49382">
      <w:numFmt w:val="decimal"/>
      <w:lvlText w:val=""/>
      <w:lvlJc w:val="left"/>
    </w:lvl>
    <w:lvl w:ilvl="4" w:tplc="5B90063C">
      <w:numFmt w:val="decimal"/>
      <w:lvlText w:val=""/>
      <w:lvlJc w:val="left"/>
    </w:lvl>
    <w:lvl w:ilvl="5" w:tplc="96BE7AE8">
      <w:numFmt w:val="decimal"/>
      <w:lvlText w:val=""/>
      <w:lvlJc w:val="left"/>
    </w:lvl>
    <w:lvl w:ilvl="6" w:tplc="979E280C">
      <w:numFmt w:val="decimal"/>
      <w:lvlText w:val=""/>
      <w:lvlJc w:val="left"/>
    </w:lvl>
    <w:lvl w:ilvl="7" w:tplc="D95E659C">
      <w:numFmt w:val="decimal"/>
      <w:lvlText w:val=""/>
      <w:lvlJc w:val="left"/>
    </w:lvl>
    <w:lvl w:ilvl="8" w:tplc="66424C0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E1C"/>
    <w:rsid w:val="00313E91"/>
    <w:rsid w:val="00460A49"/>
    <w:rsid w:val="00810D0E"/>
    <w:rsid w:val="00955E1C"/>
    <w:rsid w:val="00B20947"/>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decimalSymbol w:val="."/>
  <w:listSeparator w:val=","/>
  <w14:docId w14:val="46466BF4"/>
  <w15:docId w15:val="{31037C1E-B84E-2A48-9A8E-58CA13F7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NP"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0"/>
      <w:szCs w:val="30"/>
    </w:rPr>
  </w:style>
  <w:style w:type="paragraph" w:styleId="Heading2">
    <w:name w:val="heading 2"/>
    <w:uiPriority w:val="9"/>
    <w:unhideWhenUsed/>
    <w:qFormat/>
    <w:pPr>
      <w:spacing w:before="240" w:after="120"/>
      <w:outlineLvl w:val="1"/>
    </w:pPr>
    <w:rPr>
      <w:b/>
      <w:bCs/>
      <w:color w:val="1E40AF"/>
      <w:sz w:val="26"/>
      <w:szCs w:val="26"/>
    </w:rPr>
  </w:style>
  <w:style w:type="paragraph" w:styleId="Heading3">
    <w:name w:val="heading 3"/>
    <w:uiPriority w:val="9"/>
    <w:semiHidden/>
    <w:unhideWhenUsed/>
    <w:qFormat/>
    <w:pPr>
      <w:spacing w:before="200" w:after="80"/>
      <w:outlineLvl w:val="2"/>
    </w:pPr>
    <w:rPr>
      <w:b/>
      <w:bCs/>
      <w:color w:val="1E293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0947"/>
    <w:pPr>
      <w:tabs>
        <w:tab w:val="center" w:pos="4680"/>
        <w:tab w:val="right" w:pos="9360"/>
      </w:tabs>
    </w:pPr>
    <w:rPr>
      <w:rFonts w:cs="Mangal"/>
      <w:szCs w:val="20"/>
    </w:rPr>
  </w:style>
  <w:style w:type="character" w:customStyle="1" w:styleId="HeaderChar">
    <w:name w:val="Header Char"/>
    <w:basedOn w:val="DefaultParagraphFont"/>
    <w:link w:val="Header"/>
    <w:uiPriority w:val="99"/>
    <w:rsid w:val="00B20947"/>
    <w:rPr>
      <w:rFonts w:cs="Mangal"/>
      <w:szCs w:val="20"/>
    </w:rPr>
  </w:style>
  <w:style w:type="paragraph" w:styleId="Footer">
    <w:name w:val="footer"/>
    <w:basedOn w:val="Normal"/>
    <w:link w:val="FooterChar"/>
    <w:uiPriority w:val="99"/>
    <w:unhideWhenUsed/>
    <w:rsid w:val="00B20947"/>
    <w:pPr>
      <w:tabs>
        <w:tab w:val="center" w:pos="4680"/>
        <w:tab w:val="right" w:pos="9360"/>
      </w:tabs>
    </w:pPr>
    <w:rPr>
      <w:rFonts w:cs="Mangal"/>
      <w:szCs w:val="20"/>
    </w:rPr>
  </w:style>
  <w:style w:type="character" w:customStyle="1" w:styleId="FooterChar">
    <w:name w:val="Footer Char"/>
    <w:basedOn w:val="DefaultParagraphFont"/>
    <w:link w:val="Footer"/>
    <w:uiPriority w:val="99"/>
    <w:rsid w:val="00B20947"/>
    <w:rPr>
      <w:rFonts w:cs="Mangal"/>
      <w:szCs w:val="20"/>
    </w:rPr>
  </w:style>
  <w:style w:type="character" w:styleId="UnresolvedMention">
    <w:name w:val="Unresolved Mention"/>
    <w:basedOn w:val="DefaultParagraphFont"/>
    <w:uiPriority w:val="99"/>
    <w:semiHidden/>
    <w:unhideWhenUsed/>
    <w:rsid w:val="00313E91"/>
    <w:rPr>
      <w:color w:val="605E5C"/>
      <w:shd w:val="clear" w:color="auto" w:fill="E1DFDD"/>
    </w:rPr>
  </w:style>
  <w:style w:type="paragraph" w:styleId="NormalWeb">
    <w:name w:val="Normal (Web)"/>
    <w:basedOn w:val="Normal"/>
    <w:uiPriority w:val="99"/>
    <w:semiHidden/>
    <w:unhideWhenUsed/>
    <w:rsid w:val="00313E9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313E91"/>
    <w:rPr>
      <w:i/>
      <w:iCs/>
    </w:rPr>
  </w:style>
  <w:style w:type="character" w:styleId="Strong">
    <w:name w:val="Strong"/>
    <w:basedOn w:val="DefaultParagraphFont"/>
    <w:uiPriority w:val="22"/>
    <w:qFormat/>
    <w:rsid w:val="00313E91"/>
    <w:rPr>
      <w:b/>
      <w:bCs/>
    </w:rPr>
  </w:style>
  <w:style w:type="paragraph" w:styleId="NoSpacing">
    <w:name w:val="No Spacing"/>
    <w:uiPriority w:val="1"/>
    <w:qFormat/>
    <w:rsid w:val="00313E91"/>
    <w:rPr>
      <w:rFonts w:asciiTheme="minorHAnsi" w:eastAsiaTheme="minorEastAsia" w:hAnsiTheme="minorHAnsi" w:cstheme="minorBidi"/>
      <w:lang w:val="en-US" w:eastAsia="zh-CN" w:bidi="ar-SA"/>
    </w:rPr>
  </w:style>
  <w:style w:type="table" w:styleId="TableGrid">
    <w:name w:val="Table Grid"/>
    <w:basedOn w:val="TableNormal"/>
    <w:uiPriority w:val="39"/>
    <w:rsid w:val="00460A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548595">
      <w:bodyDiv w:val="1"/>
      <w:marLeft w:val="0"/>
      <w:marRight w:val="0"/>
      <w:marTop w:val="0"/>
      <w:marBottom w:val="0"/>
      <w:divBdr>
        <w:top w:val="none" w:sz="0" w:space="0" w:color="auto"/>
        <w:left w:val="none" w:sz="0" w:space="0" w:color="auto"/>
        <w:bottom w:val="none" w:sz="0" w:space="0" w:color="auto"/>
        <w:right w:val="none" w:sz="0" w:space="0" w:color="auto"/>
      </w:divBdr>
    </w:div>
    <w:div w:id="1445150934">
      <w:bodyDiv w:val="1"/>
      <w:marLeft w:val="0"/>
      <w:marRight w:val="0"/>
      <w:marTop w:val="0"/>
      <w:marBottom w:val="0"/>
      <w:divBdr>
        <w:top w:val="none" w:sz="0" w:space="0" w:color="auto"/>
        <w:left w:val="none" w:sz="0" w:space="0" w:color="auto"/>
        <w:bottom w:val="none" w:sz="0" w:space="0" w:color="auto"/>
        <w:right w:val="none" w:sz="0" w:space="0" w:color="auto"/>
      </w:divBdr>
    </w:div>
    <w:div w:id="1744528085">
      <w:bodyDiv w:val="1"/>
      <w:marLeft w:val="0"/>
      <w:marRight w:val="0"/>
      <w:marTop w:val="0"/>
      <w:marBottom w:val="0"/>
      <w:divBdr>
        <w:top w:val="none" w:sz="0" w:space="0" w:color="auto"/>
        <w:left w:val="none" w:sz="0" w:space="0" w:color="auto"/>
        <w:bottom w:val="none" w:sz="0" w:space="0" w:color="auto"/>
        <w:right w:val="none" w:sz="0" w:space="0" w:color="auto"/>
      </w:divBdr>
    </w:div>
    <w:div w:id="2084136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ashutosh.poudel_bse2022@student.pu.edu.n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5885</Words>
  <Characters>33547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2026-04-16T21:32:00Z</dcterms:created>
  <dcterms:modified xsi:type="dcterms:W3CDTF">2026-04-24T18:31:00Z</dcterms:modified>
</cp:coreProperties>
</file>