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pPr>
        <w:spacing w:after="80" w:before="0"/>
        <w:jc w:val="center"/>
      </w:pPr>
      <w:r>
        <w:rPr>
          <w:rFonts w:ascii="Arial" w:cs="Arial" w:eastAsia="Arial" w:hAnsi="Arial"/>
          <w:b/>
          <w:bCs/>
          <w:color w:val="1F4E79"/>
          <w:sz w:val="36"/>
          <w:szCs w:val="36"/>
        </w:rPr>
        <w:t xml:space="preserve">GLOBAL IME BANK</w:t>
      </w:r>
    </w:p>
    <w:p>
      <w:pPr>
        <w:spacing w:after="60" w:before="0"/>
        <w:jc w:val="center"/>
      </w:pPr>
      <w:r>
        <w:rPr>
          <w:rFonts w:ascii="Arial" w:cs="Arial" w:eastAsia="Arial" w:hAnsi="Arial"/>
          <w:b/>
          <w:bCs/>
          <w:color w:val="2E75B6"/>
          <w:sz w:val="56"/>
          <w:szCs w:val="56"/>
        </w:rPr>
        <w:t xml:space="preserve">AI/ML Hackathon 2025</w:t>
      </w:r>
    </w:p>
    <w:p>
      <w:pPr>
        <w:pBdr>
          <w:bottom w:val="single" w:color="C00000" w:sz="12" w:space="6"/>
        </w:pBdr>
        <w:spacing w:after="300" w:before="0"/>
        <w:jc w:val="center"/>
      </w:pPr>
      <w:r>
        <w:rPr>
          <w:rFonts w:ascii="Arial" w:cs="Arial" w:eastAsia="Arial" w:hAnsi="Arial"/>
          <w:color w:val="444444"/>
          <w:sz w:val="32"/>
          <w:szCs w:val="32"/>
        </w:rPr>
        <w:t xml:space="preserve">Concept Paper Submissions</w:t>
      </w:r>
    </w:p>
    <w:p>
      <w:r>
        <w:t xml:space="preserve">  </w:t>
      </w:r>
    </w:p>
    <w:p>
      <w:pPr>
        <w:spacing w:after="40" w:before="80"/>
        <w:jc w:val="center"/>
      </w:pPr>
      <w:r>
        <w:rPr>
          <w:rFonts w:ascii="Arial" w:cs="Arial" w:eastAsia="Arial" w:hAnsi="Arial"/>
          <w:b/>
          <w:bCs/>
          <w:color w:val="333333"/>
          <w:sz w:val="24"/>
          <w:szCs w:val="24"/>
        </w:rPr>
        <w:t xml:space="preserve">Submitted By:</w:t>
      </w:r>
    </w:p>
    <w:p>
      <w:pPr>
        <w:spacing w:after="40" w:before="0"/>
        <w:jc w:val="center"/>
      </w:pPr>
      <w:r>
        <w:rPr>
          <w:rFonts w:ascii="Arial" w:cs="Arial" w:eastAsia="Arial" w:hAnsi="Arial"/>
          <w:b/>
          <w:bCs/>
          <w:color w:val="2E75B6"/>
          <w:sz w:val="26"/>
          <w:szCs w:val="26"/>
        </w:rPr>
        <w:t xml:space="preserve">[Your Full Name]</w:t>
      </w:r>
    </w:p>
    <w:p>
      <w:pPr>
        <w:spacing w:after="40" w:before="0"/>
        <w:jc w:val="center"/>
      </w:pPr>
      <w:r>
        <w:rPr>
          <w:rFonts w:ascii="Arial" w:cs="Arial" w:eastAsia="Arial" w:hAnsi="Arial"/>
          <w:color w:val="555555"/>
          <w:sz w:val="22"/>
          <w:szCs w:val="22"/>
        </w:rPr>
        <w:t xml:space="preserve">[Your Institution / College]</w:t>
      </w:r>
    </w:p>
    <w:p>
      <w:pPr>
        <w:spacing w:after="40" w:before="0"/>
        <w:jc w:val="center"/>
      </w:pPr>
      <w:r>
        <w:rPr>
          <w:rFonts w:ascii="Arial" w:cs="Arial" w:eastAsia="Arial" w:hAnsi="Arial"/>
          <w:color w:val="555555"/>
          <w:sz w:val="22"/>
          <w:szCs w:val="22"/>
        </w:rPr>
        <w:t xml:space="preserve">[Your Email Address]</w:t>
      </w:r>
    </w:p>
    <w:p>
      <w:pPr>
        <w:spacing w:after="40" w:before="0"/>
        <w:jc w:val="center"/>
      </w:pPr>
      <w:r>
        <w:rPr>
          <w:rFonts w:ascii="Arial" w:cs="Arial" w:eastAsia="Arial" w:hAnsi="Arial"/>
          <w:color w:val="555555"/>
          <w:sz w:val="22"/>
          <w:szCs w:val="22"/>
        </w:rPr>
        <w:t xml:space="preserve">[Your Phone Number]</w:t>
      </w:r>
    </w:p>
    <w:p>
      <w:r>
        <w:t xml:space="preserve">  </w:t>
      </w:r>
    </w:p>
    <w:p>
      <w:pPr>
        <w:spacing w:after="40" w:before="80"/>
        <w:jc w:val="center"/>
      </w:pPr>
      <w:r>
        <w:rPr>
          <w:rFonts w:ascii="Arial" w:cs="Arial" w:eastAsia="Arial" w:hAnsi="Arial"/>
          <w:color w:val="333333"/>
          <w:sz w:val="22"/>
          <w:szCs w:val="22"/>
        </w:rPr>
        <w:t xml:space="preserve">Submission Date: April 4, 2025</w:t>
      </w:r>
    </w:p>
    <w:p>
      <w:pPr>
        <w:jc w:val="center"/>
      </w:pPr>
      <w:r>
        <w:rPr>
          <w:rFonts w:ascii="Arial" w:cs="Arial" w:eastAsia="Arial" w:hAnsi="Arial"/>
          <w:color w:val="2E75B6"/>
          <w:sz w:val="22"/>
          <w:szCs w:val="22"/>
        </w:rPr>
        <w:t xml:space="preserve">Contact: hackathon@gibl.com.np</w:t>
      </w:r>
    </w:p>
    <w:p>
      <w:r>
        <w:t xml:space="preserve">  </w:t>
      </w:r>
    </w:p>
    <w:p>
      <w:pPr>
        <w:spacing w:after="40" w:before="200"/>
        <w:jc w:val="center"/>
      </w:pPr>
      <w:r>
        <w:rPr>
          <w:rFonts w:ascii="Arial" w:cs="Arial" w:eastAsia="Arial" w:hAnsi="Arial"/>
          <w:b/>
          <w:bCs/>
          <w:color w:val="C00000"/>
          <w:sz w:val="22"/>
          <w:szCs w:val="22"/>
        </w:rPr>
        <w:t xml:space="preserve">CONTAINS 4 CONCEPT PAPERS:</w:t>
      </w:r>
    </w:p>
    <w:p>
      <w:pPr>
        <w:jc w:val="center"/>
      </w:pPr>
      <w:r>
        <w:rPr>
          <w:rFonts w:ascii="Arial" w:cs="Arial" w:eastAsia="Arial" w:hAnsi="Arial"/>
          <w:color w:val="444444"/>
          <w:sz w:val="20"/>
          <w:szCs w:val="20"/>
        </w:rPr>
        <w:t xml:space="preserve">1. Suspicious Transaction Detection  |  2. Image/PDF Classification</w:t>
      </w:r>
    </w:p>
    <w:p>
      <w:pPr>
        <w:jc w:val="center"/>
      </w:pPr>
      <w:r>
        <w:rPr>
          <w:rFonts w:ascii="Arial" w:cs="Arial" w:eastAsia="Arial" w:hAnsi="Arial"/>
          <w:color w:val="444444"/>
          <w:sz w:val="20"/>
          <w:szCs w:val="20"/>
        </w:rPr>
        <w:t xml:space="preserve">3. Personalized Financial Management  |  4. Predictive Branch Revenue Analysis</w:t>
      </w:r>
    </w:p>
    <w:p>
      <w:r>
        <w:br w:type="page"/>
      </w:r>
    </w:p>
    <w:p>
      <w:pPr>
        <w:spacing w:after="60" w:before="0"/>
        <w:jc w:val="center"/>
      </w:pPr>
      <w:r>
        <w:rPr>
          <w:rFonts w:ascii="Arial" w:cs="Arial" w:eastAsia="Arial" w:hAnsi="Arial"/>
          <w:b/>
          <w:bCs/>
          <w:color w:val="2E75B6"/>
          <w:sz w:val="20"/>
          <w:szCs w:val="20"/>
        </w:rPr>
        <w:t xml:space="preserve">CONCEPT PAPER — CHALLENGE 1</w:t>
      </w:r>
    </w:p>
    <w:p>
      <w:pPr>
        <w:pStyle w:val="Heading1"/>
        <w:pBdr>
          <w:bottom w:val="single" w:color="2E75B6" w:sz="8" w:space="4"/>
        </w:pBdr>
        <w:spacing w:after="120" w:before="360"/>
      </w:pPr>
      <w:r>
        <w:rPr>
          <w:rFonts w:ascii="Arial" w:cs="Arial" w:eastAsia="Arial" w:hAnsi="Arial"/>
          <w:b/>
          <w:bCs/>
          <w:color w:val="1F4E79"/>
          <w:sz w:val="36"/>
          <w:szCs w:val="36"/>
        </w:rPr>
        <w:t xml:space="preserve">Suspicious Transaction Detection Using Machine Learning</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Participant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[Your Full Name]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Institution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[Your College / University]</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Challenge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Challenge 1: Suspicious Transaction Detection</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Submission Date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April 4, 2025</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Contact Email</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[your.email@example.com]</w:t>
            </w:r>
          </w:p>
        </w:tc>
      </w:tr>
    </w:tbl>
    <w:p>
      <w:r>
        <w:t xml:space="preserve"> </w:t>
      </w:r>
    </w:p>
    <w:p>
      <w:pPr>
        <w:pStyle w:val="Heading2"/>
        <w:spacing w:after="80" w:before="240"/>
      </w:pPr>
      <w:r>
        <w:rPr>
          <w:rFonts w:ascii="Arial" w:cs="Arial" w:eastAsia="Arial" w:hAnsi="Arial"/>
          <w:b/>
          <w:bCs/>
          <w:color w:val="2E75B6"/>
          <w:sz w:val="28"/>
          <w:szCs w:val="28"/>
        </w:rPr>
        <w:t xml:space="preserve">1.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Summary</w:t>
            </w:r>
          </w:p>
        </w:tc>
      </w:tr>
      <w:tr>
        <w:tc>
          <w:tcPr>
            <w:tcW w:type="dxa" w:w="9360"/>
            <w:tcBorders>
              <w:top w:val="single" w:color="AAAAAA" w:sz="1"/>
              <w:left w:val="single" w:color="AAAAAA" w:sz="1"/>
              <w:bottom w:val="single" w:color="AAAAAA" w:sz="1"/>
              <w:right w:val="single" w:color="AAAAAA" w:sz="1"/>
            </w:tcBorders>
            <w:shd w:fill="F9FBFD" w:val="clear"/>
            <w:tcMar>
              <w:top w:type="dxa" w:w="100"/>
              <w:left w:type="dxa" w:w="160"/>
              <w:bottom w:type="dxa" w:w="100"/>
              <w:right w:type="dxa" w:w="160"/>
            </w:tcMar>
          </w:tcPr>
          <w:p>
            <w:pPr>
              <w:spacing w:after="60" w:before="60"/>
              <w:jc w:val="both"/>
            </w:pPr>
            <w:r>
              <w:rPr>
                <w:rFonts w:ascii="Arial" w:cs="Arial" w:eastAsia="Arial" w:hAnsi="Arial"/>
                <w:sz w:val="22"/>
                <w:szCs w:val="22"/>
              </w:rPr>
              <w:t xml:space="preserve">Financial fraud and money laundering pose a serious threat to the integrity of banking systems, particularly in Nepal's rapidly digitizing financial sector. This paper proposes an intelligent, multi-layered suspicious transaction detection system that leverages the power of Machine Learning (ML) and Artificial Intelligence (AI) to automatically identify, flag, and alert banking staff of potentially fraudulent or suspicious financial activities in real time. Our approach combines anomaly detection algorithms, behavioral analytics, and a risk-scoring engine to deliver accurate, low false-positive fraud detection. By integrating this system into Global IME Bank's existing transaction infrastructure, the bank can significantly reduce financial losses, ensure compliance with Nepal Rastra Bank (NRB) anti-money laundering (AML) regulations, and protect its customers from fraud.</w:t>
            </w:r>
          </w:p>
        </w:tc>
      </w:tr>
    </w:tbl>
    <w:p>
      <w:r>
        <w:t xml:space="preserve"> </w:t>
      </w:r>
    </w:p>
    <w:p>
      <w:pPr>
        <w:pStyle w:val="Heading2"/>
        <w:spacing w:after="80" w:before="240"/>
      </w:pPr>
      <w:r>
        <w:rPr>
          <w:rFonts w:ascii="Arial" w:cs="Arial" w:eastAsia="Arial" w:hAnsi="Arial"/>
          <w:b/>
          <w:bCs/>
          <w:color w:val="2E75B6"/>
          <w:sz w:val="28"/>
          <w:szCs w:val="28"/>
        </w:rPr>
        <w:t xml:space="preserve">2. Problem Statement</w:t>
      </w:r>
    </w:p>
    <w:p>
      <w:pPr>
        <w:spacing w:after="80" w:before="60"/>
        <w:jc w:val="both"/>
      </w:pPr>
      <w:r>
        <w:rPr>
          <w:rFonts w:ascii="Arial" w:cs="Arial" w:eastAsia="Arial" w:hAnsi="Arial"/>
          <w:sz w:val="22"/>
          <w:szCs w:val="22"/>
        </w:rPr>
        <w:t xml:space="preserve">Global IME Bank processes hundreds of thousands of financial transactions daily across its extensive branch network, ATMs, mobile banking, and internet banking platforms. With such scale, manually reviewing each transaction for suspicious activity is not only impractical but virtually impossible. Current rule-based fraud detection systems — which rely on fixed thresholds (e.g., flagging all transactions above NPR 10 lakhs) — generate excessive false positives, overwhelm compliance officers, and fail to detect sophisticated layered fraud schemes that operate below these thresholds.</w:t>
      </w:r>
    </w:p>
    <w:p>
      <w:pPr>
        <w:spacing w:after="80" w:before="60"/>
        <w:jc w:val="both"/>
      </w:pPr>
      <w:r>
        <w:rPr>
          <w:rFonts w:ascii="Arial" w:cs="Arial" w:eastAsia="Arial" w:hAnsi="Arial"/>
          <w:sz w:val="22"/>
          <w:szCs w:val="22"/>
        </w:rPr>
        <w:t xml:space="preserve">The consequences of undetected fraud include direct financial losses, regulatory penalties from NRB, reputational damage, and loss of customer trust. Furthermore, modern financial criminals employ increasingly sophisticated methods — structuring (smurfing), round-tripping, and account takeovers — that easily bypass simple rule-based systems.</w:t>
      </w:r>
    </w:p>
    <w:p>
      <w:pPr>
        <w:spacing w:after="80" w:before="60"/>
        <w:jc w:val="both"/>
      </w:pPr>
      <w:r>
        <w:rPr>
          <w:rFonts w:ascii="Arial" w:cs="Arial" w:eastAsia="Arial" w:hAnsi="Arial"/>
          <w:sz w:val="22"/>
          <w:szCs w:val="22"/>
        </w:rPr>
        <w:t xml:space="preserve">There is therefore a pressing need for an intelligent, adaptive fraud detection system that can learn from historical transaction patterns, identify contextual anomalies, and flag suspicious activities with precision and speed.</w:t>
      </w:r>
    </w:p>
    <w:p>
      <w:r>
        <w:t xml:space="preserve"> </w:t>
      </w:r>
    </w:p>
    <w:p>
      <w:pPr>
        <w:pStyle w:val="Heading2"/>
        <w:spacing w:after="80" w:before="240"/>
      </w:pPr>
      <w:r>
        <w:rPr>
          <w:rFonts w:ascii="Arial" w:cs="Arial" w:eastAsia="Arial" w:hAnsi="Arial"/>
          <w:b/>
          <w:bCs/>
          <w:color w:val="2E75B6"/>
          <w:sz w:val="28"/>
          <w:szCs w:val="28"/>
        </w:rPr>
        <w:t xml:space="preserve">3. Objectives</w:t>
      </w:r>
    </w:p>
    <w:p>
      <w:pPr>
        <w:pStyle w:val="ListParagraph"/>
        <w:numPr>
          <w:ilvl w:val="0"/>
          <w:numId w:val="2"/>
        </w:numPr>
        <w:spacing w:after="40" w:before="40"/>
      </w:pPr>
      <w:r>
        <w:rPr>
          <w:rFonts w:ascii="Arial" w:cs="Arial" w:eastAsia="Arial" w:hAnsi="Arial"/>
          <w:sz w:val="22"/>
          <w:szCs w:val="22"/>
        </w:rPr>
        <w:t xml:space="preserve">Automatically detect anomalous and potentially fraudulent transactions in real time</w:t>
      </w:r>
    </w:p>
    <w:p>
      <w:pPr>
        <w:pStyle w:val="ListParagraph"/>
        <w:numPr>
          <w:ilvl w:val="0"/>
          <w:numId w:val="2"/>
        </w:numPr>
        <w:spacing w:after="40" w:before="40"/>
      </w:pPr>
      <w:r>
        <w:rPr>
          <w:rFonts w:ascii="Arial" w:cs="Arial" w:eastAsia="Arial" w:hAnsi="Arial"/>
          <w:sz w:val="22"/>
          <w:szCs w:val="22"/>
        </w:rPr>
        <w:t xml:space="preserve">Assign a dynamic risk score (0–100) to every transaction based on contextual factors</w:t>
      </w:r>
    </w:p>
    <w:p>
      <w:pPr>
        <w:pStyle w:val="ListParagraph"/>
        <w:numPr>
          <w:ilvl w:val="0"/>
          <w:numId w:val="2"/>
        </w:numPr>
        <w:spacing w:after="40" w:before="40"/>
      </w:pPr>
      <w:r>
        <w:rPr>
          <w:rFonts w:ascii="Arial" w:cs="Arial" w:eastAsia="Arial" w:hAnsi="Arial"/>
          <w:sz w:val="22"/>
          <w:szCs w:val="22"/>
        </w:rPr>
        <w:t xml:space="preserve">Reduce false positive rates by at least 40% compared to rule-based systems</w:t>
      </w:r>
    </w:p>
    <w:p>
      <w:pPr>
        <w:pStyle w:val="ListParagraph"/>
        <w:numPr>
          <w:ilvl w:val="0"/>
          <w:numId w:val="2"/>
        </w:numPr>
        <w:spacing w:after="40" w:before="40"/>
      </w:pPr>
      <w:r>
        <w:rPr>
          <w:rFonts w:ascii="Arial" w:cs="Arial" w:eastAsia="Arial" w:hAnsi="Arial"/>
          <w:sz w:val="22"/>
          <w:szCs w:val="22"/>
        </w:rPr>
        <w:t xml:space="preserve">Ensure compliance with NRB's AML and KYC guidelines</w:t>
      </w:r>
    </w:p>
    <w:p>
      <w:pPr>
        <w:pStyle w:val="ListParagraph"/>
        <w:numPr>
          <w:ilvl w:val="0"/>
          <w:numId w:val="2"/>
        </w:numPr>
        <w:spacing w:after="40" w:before="40"/>
      </w:pPr>
      <w:r>
        <w:rPr>
          <w:rFonts w:ascii="Arial" w:cs="Arial" w:eastAsia="Arial" w:hAnsi="Arial"/>
          <w:sz w:val="22"/>
          <w:szCs w:val="22"/>
        </w:rPr>
        <w:t xml:space="preserve">Provide interpretable alerts that help compliance officers make quick decisions</w:t>
      </w:r>
    </w:p>
    <w:p>
      <w:pPr>
        <w:pStyle w:val="ListParagraph"/>
        <w:numPr>
          <w:ilvl w:val="0"/>
          <w:numId w:val="2"/>
        </w:numPr>
        <w:spacing w:after="40" w:before="40"/>
      </w:pPr>
      <w:r>
        <w:rPr>
          <w:rFonts w:ascii="Arial" w:cs="Arial" w:eastAsia="Arial" w:hAnsi="Arial"/>
          <w:sz w:val="22"/>
          <w:szCs w:val="22"/>
        </w:rPr>
        <w:t xml:space="preserve">Continuously learn from new fraud patterns through model retraining pipelines</w:t>
      </w:r>
    </w:p>
    <w:p>
      <w:r>
        <w:t xml:space="preserve"> </w:t>
      </w:r>
    </w:p>
    <w:p>
      <w:pPr>
        <w:pStyle w:val="Heading2"/>
        <w:spacing w:after="80" w:before="240"/>
      </w:pPr>
      <w:r>
        <w:rPr>
          <w:rFonts w:ascii="Arial" w:cs="Arial" w:eastAsia="Arial" w:hAnsi="Arial"/>
          <w:b/>
          <w:bCs/>
          <w:color w:val="2E75B6"/>
          <w:sz w:val="28"/>
          <w:szCs w:val="28"/>
        </w:rPr>
        <w:t xml:space="preserve">4. Proposed Solution</w:t>
      </w:r>
    </w:p>
    <w:p>
      <w:pPr>
        <w:spacing w:after="80" w:before="60"/>
        <w:jc w:val="both"/>
      </w:pPr>
      <w:r>
        <w:rPr>
          <w:rFonts w:ascii="Arial" w:cs="Arial" w:eastAsia="Arial" w:hAnsi="Arial"/>
          <w:sz w:val="22"/>
          <w:szCs w:val="22"/>
        </w:rPr>
        <w:t xml:space="preserve">We propose a three-layer Intelligent Fraud Detection System (IFDS) consisting of:</w:t>
      </w:r>
    </w:p>
    <w:p>
      <w:r>
        <w:t xml:space="preserve"> </w:t>
      </w:r>
    </w:p>
    <w:p>
      <w:pPr>
        <w:spacing w:after="60" w:before="160"/>
      </w:pPr>
      <w:r>
        <w:rPr>
          <w:rFonts w:ascii="Arial" w:cs="Arial" w:eastAsia="Arial" w:hAnsi="Arial"/>
          <w:b/>
          <w:bCs/>
          <w:color w:val="C00000"/>
          <w:sz w:val="24"/>
          <w:szCs w:val="24"/>
        </w:rPr>
        <w:t xml:space="preserve">Layer 1: Feature Engineering &amp; Data Preprocessing</w:t>
      </w:r>
    </w:p>
    <w:p>
      <w:pPr>
        <w:spacing w:after="80" w:before="60"/>
        <w:jc w:val="both"/>
      </w:pPr>
      <w:r>
        <w:rPr>
          <w:rFonts w:ascii="Arial" w:cs="Arial" w:eastAsia="Arial" w:hAnsi="Arial"/>
          <w:sz w:val="22"/>
          <w:szCs w:val="22"/>
        </w:rPr>
        <w:t xml:space="preserve">Raw transaction data is transformed into meaningful features that capture behavioral context:</w:t>
      </w:r>
    </w:p>
    <w:p>
      <w:pPr>
        <w:pStyle w:val="ListParagraph"/>
        <w:numPr>
          <w:ilvl w:val="0"/>
          <w:numId w:val="2"/>
        </w:numPr>
        <w:spacing w:after="40" w:before="40"/>
      </w:pPr>
      <w:r>
        <w:rPr>
          <w:rFonts w:ascii="Arial" w:cs="Arial" w:eastAsia="Arial" w:hAnsi="Arial"/>
          <w:sz w:val="22"/>
          <w:szCs w:val="22"/>
        </w:rPr>
        <w:t xml:space="preserve">Temporal features: transaction hour, day of week, time since last transaction</w:t>
      </w:r>
    </w:p>
    <w:p>
      <w:pPr>
        <w:pStyle w:val="ListParagraph"/>
        <w:numPr>
          <w:ilvl w:val="0"/>
          <w:numId w:val="2"/>
        </w:numPr>
        <w:spacing w:after="40" w:before="40"/>
      </w:pPr>
      <w:r>
        <w:rPr>
          <w:rFonts w:ascii="Arial" w:cs="Arial" w:eastAsia="Arial" w:hAnsi="Arial"/>
          <w:sz w:val="22"/>
          <w:szCs w:val="22"/>
        </w:rPr>
        <w:t xml:space="preserve">Velocity features: number of transactions in last 1/6/24 hours</w:t>
      </w:r>
    </w:p>
    <w:p>
      <w:pPr>
        <w:pStyle w:val="ListParagraph"/>
        <w:numPr>
          <w:ilvl w:val="0"/>
          <w:numId w:val="2"/>
        </w:numPr>
        <w:spacing w:after="40" w:before="40"/>
      </w:pPr>
      <w:r>
        <w:rPr>
          <w:rFonts w:ascii="Arial" w:cs="Arial" w:eastAsia="Arial" w:hAnsi="Arial"/>
          <w:sz w:val="22"/>
          <w:szCs w:val="22"/>
        </w:rPr>
        <w:t xml:space="preserve">Amount features: deviation from 30-day average, round-amount flag</w:t>
      </w:r>
    </w:p>
    <w:p>
      <w:pPr>
        <w:pStyle w:val="ListParagraph"/>
        <w:numPr>
          <w:ilvl w:val="0"/>
          <w:numId w:val="2"/>
        </w:numPr>
        <w:spacing w:after="40" w:before="40"/>
      </w:pPr>
      <w:r>
        <w:rPr>
          <w:rFonts w:ascii="Arial" w:cs="Arial" w:eastAsia="Arial" w:hAnsi="Arial"/>
          <w:sz w:val="22"/>
          <w:szCs w:val="22"/>
        </w:rPr>
        <w:t xml:space="preserve">Geographic features: distance from registered branch, new location flag</w:t>
      </w:r>
    </w:p>
    <w:p>
      <w:pPr>
        <w:pStyle w:val="ListParagraph"/>
        <w:numPr>
          <w:ilvl w:val="0"/>
          <w:numId w:val="2"/>
        </w:numPr>
        <w:spacing w:after="40" w:before="40"/>
      </w:pPr>
      <w:r>
        <w:rPr>
          <w:rFonts w:ascii="Arial" w:cs="Arial" w:eastAsia="Arial" w:hAnsi="Arial"/>
          <w:sz w:val="22"/>
          <w:szCs w:val="22"/>
        </w:rPr>
        <w:t xml:space="preserve">Counterparty features: new beneficiary flag, beneficiary risk profile</w:t>
      </w:r>
    </w:p>
    <w:p>
      <w:pPr>
        <w:pStyle w:val="ListParagraph"/>
        <w:numPr>
          <w:ilvl w:val="0"/>
          <w:numId w:val="2"/>
        </w:numPr>
        <w:spacing w:after="40" w:before="40"/>
      </w:pPr>
      <w:r>
        <w:rPr>
          <w:rFonts w:ascii="Arial" w:cs="Arial" w:eastAsia="Arial" w:hAnsi="Arial"/>
          <w:sz w:val="22"/>
          <w:szCs w:val="22"/>
        </w:rPr>
        <w:t xml:space="preserve">Account features: account age, average balance, historical behavior profile</w:t>
      </w:r>
    </w:p>
    <w:p>
      <w:r>
        <w:t xml:space="preserve"> </w:t>
      </w:r>
    </w:p>
    <w:p>
      <w:pPr>
        <w:spacing w:after="60" w:before="160"/>
      </w:pPr>
      <w:r>
        <w:rPr>
          <w:rFonts w:ascii="Arial" w:cs="Arial" w:eastAsia="Arial" w:hAnsi="Arial"/>
          <w:b/>
          <w:bCs/>
          <w:color w:val="C00000"/>
          <w:sz w:val="24"/>
          <w:szCs w:val="24"/>
        </w:rPr>
        <w:t xml:space="preserve">Layer 2: Anomaly Detection Models</w:t>
      </w:r>
    </w:p>
    <w:p>
      <w:pPr>
        <w:spacing w:after="80" w:before="60"/>
        <w:jc w:val="both"/>
      </w:pPr>
      <w:r>
        <w:rPr>
          <w:rFonts w:ascii="Arial" w:cs="Arial" w:eastAsia="Arial" w:hAnsi="Arial"/>
          <w:sz w:val="22"/>
          <w:szCs w:val="22"/>
        </w:rPr>
        <w:t xml:space="preserve">We employ an ensemble of three complementary ML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2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Chosen</w:t>
            </w:r>
          </w:p>
        </w:tc>
      </w:tr>
      <w:tr>
        <w:tc>
          <w:tcPr>
            <w:tcW w:type="dxa" w:w="2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Isolation Forest</w:t>
            </w:r>
          </w:p>
        </w:tc>
        <w:tc>
          <w:tcPr>
            <w:tcW w:type="dxa" w:w="32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Unsupervised outlier detection</w:t>
            </w:r>
          </w:p>
        </w:tc>
        <w:tc>
          <w:tcPr>
            <w:tcW w:type="dxa" w:w="34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No labeled fraud data required; fast on large datasets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XGBoost Classifier</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Supervised fraud classification</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High accuracy with historical fraud labels; handles imbalanced data</w:t>
            </w:r>
          </w:p>
        </w:tc>
      </w:tr>
      <w:tr>
        <w:tc>
          <w:tcPr>
            <w:tcW w:type="dxa" w:w="2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Autoencoder (LSTM)</w:t>
            </w:r>
          </w:p>
        </w:tc>
        <w:tc>
          <w:tcPr>
            <w:tcW w:type="dxa" w:w="32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Sequential pattern anomaly detection</w:t>
            </w:r>
          </w:p>
        </w:tc>
        <w:tc>
          <w:tcPr>
            <w:tcW w:type="dxa" w:w="34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Captures temporal dependencies in transaction sequences</w:t>
            </w:r>
          </w:p>
        </w:tc>
      </w:tr>
    </w:tbl>
    <w:p>
      <w:r>
        <w:t xml:space="preserve"> </w:t>
      </w:r>
    </w:p>
    <w:p>
      <w:pPr>
        <w:spacing w:after="60" w:before="160"/>
      </w:pPr>
      <w:r>
        <w:rPr>
          <w:rFonts w:ascii="Arial" w:cs="Arial" w:eastAsia="Arial" w:hAnsi="Arial"/>
          <w:b/>
          <w:bCs/>
          <w:color w:val="C00000"/>
          <w:sz w:val="24"/>
          <w:szCs w:val="24"/>
        </w:rPr>
        <w:t xml:space="preserve">Layer 3: Risk Scoring &amp; Alert Engine</w:t>
      </w:r>
    </w:p>
    <w:p>
      <w:pPr>
        <w:pStyle w:val="ListParagraph"/>
        <w:numPr>
          <w:ilvl w:val="0"/>
          <w:numId w:val="2"/>
        </w:numPr>
        <w:spacing w:after="40" w:before="40"/>
      </w:pPr>
      <w:r>
        <w:rPr>
          <w:rFonts w:ascii="Arial" w:cs="Arial" w:eastAsia="Arial" w:hAnsi="Arial"/>
          <w:sz w:val="22"/>
          <w:szCs w:val="22"/>
        </w:rPr>
        <w:t xml:space="preserve">Each transaction receives a composite Risk Score (0–100) based on ensemble model outputs</w:t>
      </w:r>
    </w:p>
    <w:p>
      <w:pPr>
        <w:pStyle w:val="ListParagraph"/>
        <w:numPr>
          <w:ilvl w:val="0"/>
          <w:numId w:val="2"/>
        </w:numPr>
        <w:spacing w:after="40" w:before="40"/>
      </w:pPr>
      <w:r>
        <w:rPr>
          <w:rFonts w:ascii="Arial" w:cs="Arial" w:eastAsia="Arial" w:hAnsi="Arial"/>
          <w:sz w:val="22"/>
          <w:szCs w:val="22"/>
        </w:rPr>
        <w:t xml:space="preserve">Score 0–30: Safe — no action required</w:t>
      </w:r>
    </w:p>
    <w:p>
      <w:pPr>
        <w:pStyle w:val="ListParagraph"/>
        <w:numPr>
          <w:ilvl w:val="0"/>
          <w:numId w:val="2"/>
        </w:numPr>
        <w:spacing w:after="40" w:before="40"/>
      </w:pPr>
      <w:r>
        <w:rPr>
          <w:rFonts w:ascii="Arial" w:cs="Arial" w:eastAsia="Arial" w:hAnsi="Arial"/>
          <w:sz w:val="22"/>
          <w:szCs w:val="22"/>
        </w:rPr>
        <w:t xml:space="preserve">Score 31–60: Review — flagged for periodic review</w:t>
      </w:r>
    </w:p>
    <w:p>
      <w:pPr>
        <w:pStyle w:val="ListParagraph"/>
        <w:numPr>
          <w:ilvl w:val="0"/>
          <w:numId w:val="2"/>
        </w:numPr>
        <w:spacing w:after="40" w:before="40"/>
      </w:pPr>
      <w:r>
        <w:rPr>
          <w:rFonts w:ascii="Arial" w:cs="Arial" w:eastAsia="Arial" w:hAnsi="Arial"/>
          <w:sz w:val="22"/>
          <w:szCs w:val="22"/>
        </w:rPr>
        <w:t xml:space="preserve">Score 61–80: Alert — notify compliance officer within 4 hours</w:t>
      </w:r>
    </w:p>
    <w:p>
      <w:pPr>
        <w:pStyle w:val="ListParagraph"/>
        <w:numPr>
          <w:ilvl w:val="0"/>
          <w:numId w:val="2"/>
        </w:numPr>
        <w:spacing w:after="40" w:before="40"/>
      </w:pPr>
      <w:r>
        <w:rPr>
          <w:rFonts w:ascii="Arial" w:cs="Arial" w:eastAsia="Arial" w:hAnsi="Arial"/>
          <w:sz w:val="22"/>
          <w:szCs w:val="22"/>
        </w:rPr>
        <w:t xml:space="preserve">Score 81–100: Block — transaction held, immediate investigation triggered</w:t>
      </w:r>
    </w:p>
    <w:p>
      <w:r>
        <w:t xml:space="preserve"> </w:t>
      </w:r>
    </w:p>
    <w:p>
      <w:pPr>
        <w:pStyle w:val="Heading2"/>
        <w:spacing w:after="80" w:before="240"/>
      </w:pPr>
      <w:r>
        <w:rPr>
          <w:rFonts w:ascii="Arial" w:cs="Arial" w:eastAsia="Arial" w:hAnsi="Arial"/>
          <w:b/>
          <w:bCs/>
          <w:color w:val="2E75B6"/>
          <w:sz w:val="28"/>
          <w:szCs w:val="28"/>
        </w:rPr>
        <w:t xml:space="preserve">5. Methodology</w:t>
      </w:r>
    </w:p>
    <w:p>
      <w:pPr>
        <w:pStyle w:val="ListParagraph"/>
        <w:numPr>
          <w:ilvl w:val="0"/>
          <w:numId w:val="3"/>
        </w:numPr>
        <w:spacing w:after="40" w:before="40"/>
      </w:pPr>
      <w:r>
        <w:rPr>
          <w:rFonts w:ascii="Arial" w:cs="Arial" w:eastAsia="Arial" w:hAnsi="Arial"/>
          <w:sz w:val="22"/>
          <w:szCs w:val="22"/>
        </w:rPr>
        <w:t xml:space="preserve">Data Collection: Gather 3–5 years of anonymized historical transaction data from GIBL's systems, including confirmed fraud cases</w:t>
      </w:r>
    </w:p>
    <w:p>
      <w:pPr>
        <w:pStyle w:val="ListParagraph"/>
        <w:numPr>
          <w:ilvl w:val="0"/>
          <w:numId w:val="3"/>
        </w:numPr>
        <w:spacing w:after="40" w:before="40"/>
      </w:pPr>
      <w:r>
        <w:rPr>
          <w:rFonts w:ascii="Arial" w:cs="Arial" w:eastAsia="Arial" w:hAnsi="Arial"/>
          <w:sz w:val="22"/>
          <w:szCs w:val="22"/>
        </w:rPr>
        <w:t xml:space="preserve">Data Preprocessing: Handle missing values, encode categorical variables, normalize amounts, remove duplicates</w:t>
      </w:r>
    </w:p>
    <w:p>
      <w:pPr>
        <w:pStyle w:val="ListParagraph"/>
        <w:numPr>
          <w:ilvl w:val="0"/>
          <w:numId w:val="3"/>
        </w:numPr>
        <w:spacing w:after="40" w:before="40"/>
      </w:pPr>
      <w:r>
        <w:rPr>
          <w:rFonts w:ascii="Arial" w:cs="Arial" w:eastAsia="Arial" w:hAnsi="Arial"/>
          <w:sz w:val="22"/>
          <w:szCs w:val="22"/>
        </w:rPr>
        <w:t xml:space="preserve">Feature Engineering: Create 30+ behavioral and contextual features as described above</w:t>
      </w:r>
    </w:p>
    <w:p>
      <w:pPr>
        <w:pStyle w:val="ListParagraph"/>
        <w:numPr>
          <w:ilvl w:val="0"/>
          <w:numId w:val="3"/>
        </w:numPr>
        <w:spacing w:after="40" w:before="40"/>
      </w:pPr>
      <w:r>
        <w:rPr>
          <w:rFonts w:ascii="Arial" w:cs="Arial" w:eastAsia="Arial" w:hAnsi="Arial"/>
          <w:sz w:val="22"/>
          <w:szCs w:val="22"/>
        </w:rPr>
        <w:t xml:space="preserve">Class Imbalance Handling: Apply SMOTE (Synthetic Minority Oversampling) to balance fraud vs. non-fraud samples</w:t>
      </w:r>
    </w:p>
    <w:p>
      <w:pPr>
        <w:pStyle w:val="ListParagraph"/>
        <w:numPr>
          <w:ilvl w:val="0"/>
          <w:numId w:val="3"/>
        </w:numPr>
        <w:spacing w:after="40" w:before="40"/>
      </w:pPr>
      <w:r>
        <w:rPr>
          <w:rFonts w:ascii="Arial" w:cs="Arial" w:eastAsia="Arial" w:hAnsi="Arial"/>
          <w:sz w:val="22"/>
          <w:szCs w:val="22"/>
        </w:rPr>
        <w:t xml:space="preserve">Model Training: Train Isolation Forest (unsupervised) and XGBoost (supervised) on 80% of the dataset; train LSTM Autoencoder on transaction sequences</w:t>
      </w:r>
    </w:p>
    <w:p>
      <w:pPr>
        <w:pStyle w:val="ListParagraph"/>
        <w:numPr>
          <w:ilvl w:val="0"/>
          <w:numId w:val="3"/>
        </w:numPr>
        <w:spacing w:after="40" w:before="40"/>
      </w:pPr>
      <w:r>
        <w:rPr>
          <w:rFonts w:ascii="Arial" w:cs="Arial" w:eastAsia="Arial" w:hAnsi="Arial"/>
          <w:sz w:val="22"/>
          <w:szCs w:val="22"/>
        </w:rPr>
        <w:t xml:space="preserve">Ensemble Integration: Combine model outputs using weighted averaging to produce a final risk score</w:t>
      </w:r>
    </w:p>
    <w:p>
      <w:pPr>
        <w:pStyle w:val="ListParagraph"/>
        <w:numPr>
          <w:ilvl w:val="0"/>
          <w:numId w:val="3"/>
        </w:numPr>
        <w:spacing w:after="40" w:before="40"/>
      </w:pPr>
      <w:r>
        <w:rPr>
          <w:rFonts w:ascii="Arial" w:cs="Arial" w:eastAsia="Arial" w:hAnsi="Arial"/>
          <w:sz w:val="22"/>
          <w:szCs w:val="22"/>
        </w:rPr>
        <w:t xml:space="preserve">Evaluation: Test on remaining 20% holdout set; optimize for recall (minimize missed fraud)</w:t>
      </w:r>
    </w:p>
    <w:p>
      <w:pPr>
        <w:pStyle w:val="ListParagraph"/>
        <w:numPr>
          <w:ilvl w:val="0"/>
          <w:numId w:val="3"/>
        </w:numPr>
        <w:spacing w:after="40" w:before="40"/>
      </w:pPr>
      <w:r>
        <w:rPr>
          <w:rFonts w:ascii="Arial" w:cs="Arial" w:eastAsia="Arial" w:hAnsi="Arial"/>
          <w:sz w:val="22"/>
          <w:szCs w:val="22"/>
        </w:rPr>
        <w:t xml:space="preserve">Deployment: Integrate via REST API into GIBL's transaction processing system for real-time scoring</w:t>
      </w:r>
    </w:p>
    <w:p>
      <w:pPr>
        <w:pStyle w:val="ListParagraph"/>
        <w:numPr>
          <w:ilvl w:val="0"/>
          <w:numId w:val="3"/>
        </w:numPr>
        <w:spacing w:after="40" w:before="40"/>
      </w:pPr>
      <w:r>
        <w:rPr>
          <w:rFonts w:ascii="Arial" w:cs="Arial" w:eastAsia="Arial" w:hAnsi="Arial"/>
          <w:sz w:val="22"/>
          <w:szCs w:val="22"/>
        </w:rPr>
        <w:t xml:space="preserve">Monitoring &amp; Retraining: Set up automated monthly retraining pipeline with new transaction data</w:t>
      </w:r>
    </w:p>
    <w:p>
      <w:r>
        <w:t xml:space="preserve"> </w:t>
      </w:r>
    </w:p>
    <w:p>
      <w:pPr>
        <w:pStyle w:val="Heading2"/>
        <w:spacing w:after="80" w:before="240"/>
      </w:pPr>
      <w:r>
        <w:rPr>
          <w:rFonts w:ascii="Arial" w:cs="Arial" w:eastAsia="Arial" w:hAnsi="Arial"/>
          <w:b/>
          <w:bCs/>
          <w:color w:val="2E75B6"/>
          <w:sz w:val="28"/>
          <w:szCs w:val="28"/>
        </w:rPr>
        <w:t xml:space="preserve">6. Dataset</w:t>
      </w:r>
    </w:p>
    <w:p>
      <w:pPr>
        <w:spacing w:after="80" w:before="60"/>
        <w:jc w:val="both"/>
      </w:pPr>
      <w:r>
        <w:rPr>
          <w:rFonts w:ascii="Arial" w:cs="Arial" w:eastAsia="Arial" w:hAnsi="Arial"/>
          <w:sz w:val="22"/>
          <w:szCs w:val="22"/>
        </w:rPr>
        <w:t xml:space="preserve">Primary dataset: Anonymized GIBL transaction history (3–5 years) — to be provided by the bank.</w:t>
      </w:r>
    </w:p>
    <w:p>
      <w:pPr>
        <w:spacing w:after="80" w:before="60"/>
        <w:jc w:val="both"/>
      </w:pPr>
      <w:r>
        <w:rPr>
          <w:rFonts w:ascii="Arial" w:cs="Arial" w:eastAsia="Arial" w:hAnsi="Arial"/>
          <w:sz w:val="22"/>
          <w:szCs w:val="22"/>
        </w:rPr>
        <w:t xml:space="preserve">Reference/Development datasets:</w:t>
      </w:r>
    </w:p>
    <w:p>
      <w:pPr>
        <w:pStyle w:val="ListParagraph"/>
        <w:numPr>
          <w:ilvl w:val="0"/>
          <w:numId w:val="2"/>
        </w:numPr>
        <w:spacing w:after="40" w:before="40"/>
      </w:pPr>
      <w:r>
        <w:rPr>
          <w:rFonts w:ascii="Arial" w:cs="Arial" w:eastAsia="Arial" w:hAnsi="Arial"/>
          <w:sz w:val="22"/>
          <w:szCs w:val="22"/>
        </w:rPr>
        <w:t xml:space="preserve">IEEE-CIS Fraud Detection Dataset (Kaggle) — 590,000 transactions with fraud labels</w:t>
      </w:r>
    </w:p>
    <w:p>
      <w:pPr>
        <w:pStyle w:val="ListParagraph"/>
        <w:numPr>
          <w:ilvl w:val="0"/>
          <w:numId w:val="2"/>
        </w:numPr>
        <w:spacing w:after="40" w:before="40"/>
      </w:pPr>
      <w:r>
        <w:rPr>
          <w:rFonts w:ascii="Arial" w:cs="Arial" w:eastAsia="Arial" w:hAnsi="Arial"/>
          <w:sz w:val="22"/>
          <w:szCs w:val="22"/>
        </w:rPr>
        <w:t xml:space="preserve">Credit Card Fraud Detection Dataset (ULB Machine Learning Group) — 284,807 transactions</w:t>
      </w:r>
    </w:p>
    <w:p>
      <w:pPr>
        <w:pStyle w:val="ListParagraph"/>
        <w:numPr>
          <w:ilvl w:val="0"/>
          <w:numId w:val="2"/>
        </w:numPr>
        <w:spacing w:after="40" w:before="40"/>
      </w:pPr>
      <w:r>
        <w:rPr>
          <w:rFonts w:ascii="Arial" w:cs="Arial" w:eastAsia="Arial" w:hAnsi="Arial"/>
          <w:sz w:val="22"/>
          <w:szCs w:val="22"/>
        </w:rPr>
        <w:t xml:space="preserve">Synthetic Financial Datasets for Fraud Detection (PaySim) — mobile money transaction simulation</w:t>
      </w:r>
    </w:p>
    <w:p>
      <w:r>
        <w:t xml:space="preserve"> </w:t>
      </w:r>
    </w:p>
    <w:p>
      <w:pPr>
        <w:pStyle w:val="Heading2"/>
        <w:spacing w:after="80" w:before="240"/>
      </w:pPr>
      <w:r>
        <w:rPr>
          <w:rFonts w:ascii="Arial" w:cs="Arial" w:eastAsia="Arial" w:hAnsi="Arial"/>
          <w:b/>
          <w:bCs/>
          <w:color w:val="2E75B6"/>
          <w:sz w:val="28"/>
          <w:szCs w:val="28"/>
        </w:rPr>
        <w:t xml:space="preserve">7. Expected Outcomes &amp;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Detection Accuracy</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&gt; 95% on test dataset</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False Positive Rate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&lt; 5% (vs. ~25% in rule-based systems)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False Negative Rate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&lt; 2% (no fraud missed)</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AUC-ROC Score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&gt; 0.97</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Processing Speed</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&lt; 100 milliseconds per transaction (real-time)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Compliance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Full alignment with NRB AML/KYC regulations</w:t>
            </w:r>
          </w:p>
        </w:tc>
      </w:tr>
    </w:tbl>
    <w:p>
      <w:r>
        <w:t xml:space="preserve"> </w:t>
      </w:r>
    </w:p>
    <w:p>
      <w:pPr>
        <w:pStyle w:val="Heading2"/>
        <w:spacing w:after="80" w:before="240"/>
      </w:pPr>
      <w:r>
        <w:rPr>
          <w:rFonts w:ascii="Arial" w:cs="Arial" w:eastAsia="Arial" w:hAnsi="Arial"/>
          <w:b/>
          <w:bCs/>
          <w:color w:val="2E75B6"/>
          <w:sz w:val="28"/>
          <w:szCs w:val="28"/>
        </w:rPr>
        <w:t xml:space="preserve">8. Technical Stack</w:t>
      </w:r>
    </w:p>
    <w:p>
      <w:pPr>
        <w:pStyle w:val="ListParagraph"/>
        <w:numPr>
          <w:ilvl w:val="0"/>
          <w:numId w:val="2"/>
        </w:numPr>
        <w:spacing w:after="40" w:before="40"/>
      </w:pPr>
      <w:r>
        <w:rPr>
          <w:rFonts w:ascii="Arial" w:cs="Arial" w:eastAsia="Arial" w:hAnsi="Arial"/>
          <w:sz w:val="22"/>
          <w:szCs w:val="22"/>
        </w:rPr>
        <w:t xml:space="preserve">Languages: Python 3.10+</w:t>
      </w:r>
    </w:p>
    <w:p>
      <w:pPr>
        <w:pStyle w:val="ListParagraph"/>
        <w:numPr>
          <w:ilvl w:val="0"/>
          <w:numId w:val="2"/>
        </w:numPr>
        <w:spacing w:after="40" w:before="40"/>
      </w:pPr>
      <w:r>
        <w:rPr>
          <w:rFonts w:ascii="Arial" w:cs="Arial" w:eastAsia="Arial" w:hAnsi="Arial"/>
          <w:sz w:val="22"/>
          <w:szCs w:val="22"/>
        </w:rPr>
        <w:t xml:space="preserve">ML Libraries: Scikit-learn, XGBoost, TensorFlow/Keras (LSTM Autoencoder)</w:t>
      </w:r>
    </w:p>
    <w:p>
      <w:pPr>
        <w:pStyle w:val="ListParagraph"/>
        <w:numPr>
          <w:ilvl w:val="0"/>
          <w:numId w:val="2"/>
        </w:numPr>
        <w:spacing w:after="40" w:before="40"/>
      </w:pPr>
      <w:r>
        <w:rPr>
          <w:rFonts w:ascii="Arial" w:cs="Arial" w:eastAsia="Arial" w:hAnsi="Arial"/>
          <w:sz w:val="22"/>
          <w:szCs w:val="22"/>
        </w:rPr>
        <w:t xml:space="preserve">Data Processing: Pandas, NumPy, Imbalanced-learn (SMOTE)</w:t>
      </w:r>
    </w:p>
    <w:p>
      <w:pPr>
        <w:pStyle w:val="ListParagraph"/>
        <w:numPr>
          <w:ilvl w:val="0"/>
          <w:numId w:val="2"/>
        </w:numPr>
        <w:spacing w:after="40" w:before="40"/>
      </w:pPr>
      <w:r>
        <w:rPr>
          <w:rFonts w:ascii="Arial" w:cs="Arial" w:eastAsia="Arial" w:hAnsi="Arial"/>
          <w:sz w:val="22"/>
          <w:szCs w:val="22"/>
        </w:rPr>
        <w:t xml:space="preserve">API &amp; Integration: FastAPI (REST endpoint), Docker (containerization)</w:t>
      </w:r>
    </w:p>
    <w:p>
      <w:pPr>
        <w:pStyle w:val="ListParagraph"/>
        <w:numPr>
          <w:ilvl w:val="0"/>
          <w:numId w:val="2"/>
        </w:numPr>
        <w:spacing w:after="40" w:before="40"/>
      </w:pPr>
      <w:r>
        <w:rPr>
          <w:rFonts w:ascii="Arial" w:cs="Arial" w:eastAsia="Arial" w:hAnsi="Arial"/>
          <w:sz w:val="22"/>
          <w:szCs w:val="22"/>
        </w:rPr>
        <w:t xml:space="preserve">Dashboard: Streamlit or Power BI for compliance officer interface</w:t>
      </w:r>
    </w:p>
    <w:p>
      <w:pPr>
        <w:pStyle w:val="ListParagraph"/>
        <w:numPr>
          <w:ilvl w:val="0"/>
          <w:numId w:val="2"/>
        </w:numPr>
        <w:spacing w:after="40" w:before="40"/>
      </w:pPr>
      <w:r>
        <w:rPr>
          <w:rFonts w:ascii="Arial" w:cs="Arial" w:eastAsia="Arial" w:hAnsi="Arial"/>
          <w:sz w:val="22"/>
          <w:szCs w:val="22"/>
        </w:rPr>
        <w:t xml:space="preserve">Database: PostgreSQL for transaction storage, Redis for real-time caching</w:t>
      </w:r>
    </w:p>
    <w:p>
      <w:r>
        <w:t xml:space="preserve"> </w:t>
      </w:r>
    </w:p>
    <w:p>
      <w:pPr>
        <w:pStyle w:val="Heading2"/>
        <w:spacing w:after="80" w:before="240"/>
      </w:pPr>
      <w:r>
        <w:rPr>
          <w:rFonts w:ascii="Arial" w:cs="Arial" w:eastAsia="Arial" w:hAnsi="Arial"/>
          <w:b/>
          <w:bCs/>
          <w:color w:val="2E75B6"/>
          <w:sz w:val="28"/>
          <w:szCs w:val="28"/>
        </w:rPr>
        <w:t xml:space="preserve">9. Conclusion</w:t>
      </w:r>
    </w:p>
    <w:p>
      <w:pPr>
        <w:spacing w:after="80" w:before="60"/>
        <w:jc w:val="both"/>
      </w:pPr>
      <w:r>
        <w:rPr>
          <w:rFonts w:ascii="Arial" w:cs="Arial" w:eastAsia="Arial" w:hAnsi="Arial"/>
          <w:sz w:val="22"/>
          <w:szCs w:val="22"/>
        </w:rPr>
        <w:t xml:space="preserve">The proposed Intelligent Fraud Detection System represents a significant advancement over Global IME Bank's current approach to transaction monitoring. By combining unsupervised anomaly detection, supervised classification, and sequential pattern analysis into a unified risk-scoring framework, the system can detect sophisticated fraud schemes while minimizing disruption to legitimate customers. The solution is scalable, explainable, and directly aligned with Nepal Rastra Bank's AML compliance requirements. Implementation of this system is expected to reduce fraud-related losses by an estimated 60–70% while improving the efficiency of GIBL's compliance team by reducing manual review workload significantly.</w:t>
      </w:r>
    </w:p>
    <w:p>
      <w:r>
        <w:t xml:space="preserve"> </w:t>
      </w:r>
    </w:p>
    <w:p>
      <w:r>
        <w:br w:type="page"/>
      </w:r>
    </w:p>
    <w:p>
      <w:pPr>
        <w:spacing w:after="60" w:before="0"/>
        <w:jc w:val="center"/>
      </w:pPr>
      <w:r>
        <w:rPr>
          <w:rFonts w:ascii="Arial" w:cs="Arial" w:eastAsia="Arial" w:hAnsi="Arial"/>
          <w:b/>
          <w:bCs/>
          <w:color w:val="2E75B6"/>
          <w:sz w:val="20"/>
          <w:szCs w:val="20"/>
        </w:rPr>
        <w:t xml:space="preserve">CONCEPT PAPER — CHALLENGE 2</w:t>
      </w:r>
    </w:p>
    <w:p>
      <w:pPr>
        <w:pStyle w:val="Heading1"/>
        <w:pBdr>
          <w:bottom w:val="single" w:color="2E75B6" w:sz="8" w:space="4"/>
        </w:pBdr>
        <w:spacing w:after="120" w:before="360"/>
      </w:pPr>
      <w:r>
        <w:rPr>
          <w:rFonts w:ascii="Arial" w:cs="Arial" w:eastAsia="Arial" w:hAnsi="Arial"/>
          <w:b/>
          <w:bCs/>
          <w:color w:val="1F4E79"/>
          <w:sz w:val="36"/>
          <w:szCs w:val="36"/>
        </w:rPr>
        <w:t xml:space="preserve">Automated Document Classification &amp; Data Extraction Using Computer Vision</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Participant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[Your Full Name]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Institution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[Your College / University]</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Challenge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Challenge 2: Classifying Images/PDFs using Computer Vision Techniques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Submission Date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April 4, 2025</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Contact Email</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[your.email@example.com]</w:t>
            </w:r>
          </w:p>
        </w:tc>
      </w:tr>
    </w:tbl>
    <w:p>
      <w:r>
        <w:t xml:space="preserve"> </w:t>
      </w:r>
    </w:p>
    <w:p>
      <w:pPr>
        <w:pStyle w:val="Heading2"/>
        <w:spacing w:after="80" w:before="240"/>
      </w:pPr>
      <w:r>
        <w:rPr>
          <w:rFonts w:ascii="Arial" w:cs="Arial" w:eastAsia="Arial" w:hAnsi="Arial"/>
          <w:b/>
          <w:bCs/>
          <w:color w:val="2E75B6"/>
          <w:sz w:val="28"/>
          <w:szCs w:val="28"/>
        </w:rPr>
        <w:t xml:space="preserve">1.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Summary</w:t>
            </w:r>
          </w:p>
        </w:tc>
      </w:tr>
      <w:tr>
        <w:tc>
          <w:tcPr>
            <w:tcW w:type="dxa" w:w="9360"/>
            <w:tcBorders>
              <w:top w:val="single" w:color="AAAAAA" w:sz="1"/>
              <w:left w:val="single" w:color="AAAAAA" w:sz="1"/>
              <w:bottom w:val="single" w:color="AAAAAA" w:sz="1"/>
              <w:right w:val="single" w:color="AAAAAA" w:sz="1"/>
            </w:tcBorders>
            <w:shd w:fill="F9FBFD" w:val="clear"/>
            <w:tcMar>
              <w:top w:type="dxa" w:w="100"/>
              <w:left w:type="dxa" w:w="160"/>
              <w:bottom w:type="dxa" w:w="100"/>
              <w:right w:type="dxa" w:w="160"/>
            </w:tcMar>
          </w:tcPr>
          <w:p>
            <w:pPr>
              <w:spacing w:after="60" w:before="60"/>
              <w:jc w:val="both"/>
            </w:pPr>
            <w:r>
              <w:rPr>
                <w:rFonts w:ascii="Arial" w:cs="Arial" w:eastAsia="Arial" w:hAnsi="Arial"/>
                <w:sz w:val="22"/>
                <w:szCs w:val="22"/>
              </w:rPr>
              <w:t xml:space="preserve">Banks receive thousands of physical and digital documents daily — from customer KYC forms and citizenship certificates to loan applications, cheques, and NRB compliance forms. Manual classification and data entry from these documents is slow, error-prone, and operationally expensive. This paper proposes an end-to-end Intelligent Document Processing (IDP) system that uses Computer Vision and Natural Language Processing to automatically classify incoming document types and extract key data fields with high accuracy. Our pipeline combines Convolutional Neural Networks (CNN) for image classification, Optical Character Recognition (OCR) for text extraction, and LayoutLM — a transformer-based model — for understanding complex document layouts. The system is expected to reduce document processing time by 85% and data entry errors by 90%, directly improving Global IME Bank's operational efficiency and customer onboarding experience.</w:t>
            </w:r>
          </w:p>
        </w:tc>
      </w:tr>
    </w:tbl>
    <w:p>
      <w:r>
        <w:t xml:space="preserve"> </w:t>
      </w:r>
    </w:p>
    <w:p>
      <w:pPr>
        <w:pStyle w:val="Heading2"/>
        <w:spacing w:after="80" w:before="240"/>
      </w:pPr>
      <w:r>
        <w:rPr>
          <w:rFonts w:ascii="Arial" w:cs="Arial" w:eastAsia="Arial" w:hAnsi="Arial"/>
          <w:b/>
          <w:bCs/>
          <w:color w:val="2E75B6"/>
          <w:sz w:val="28"/>
          <w:szCs w:val="28"/>
        </w:rPr>
        <w:t xml:space="preserve">2. Problem Statement</w:t>
      </w:r>
    </w:p>
    <w:p>
      <w:pPr>
        <w:spacing w:after="80" w:before="60"/>
        <w:jc w:val="both"/>
      </w:pPr>
      <w:r>
        <w:rPr>
          <w:rFonts w:ascii="Arial" w:cs="Arial" w:eastAsia="Arial" w:hAnsi="Arial"/>
          <w:sz w:val="22"/>
          <w:szCs w:val="22"/>
        </w:rPr>
        <w:t xml:space="preserve">Global IME Bank handles a diverse range of document types across its operations: identity documents (citizenship certificates, passports, driving licenses), financial documents (bank statements, salary certificates, tax clearance certificates), transactional documents (cheques, demand drafts, remittance forms), and compliance documents (KYC forms, AML declarations, NRB reporting forms).</w:t>
      </w:r>
    </w:p>
    <w:p>
      <w:pPr>
        <w:spacing w:after="80" w:before="60"/>
        <w:jc w:val="both"/>
      </w:pPr>
      <w:r>
        <w:rPr>
          <w:rFonts w:ascii="Arial" w:cs="Arial" w:eastAsia="Arial" w:hAnsi="Arial"/>
          <w:sz w:val="22"/>
          <w:szCs w:val="22"/>
        </w:rPr>
        <w:t xml:space="preserve">Currently, bank staff manually sort, classify, and key in data from these documents — a process that is time-consuming, expensive, and highly susceptible to human error. A misclassified KYC document or incorrectly entered ID number can lead to compliance failures, customer dissatisfaction, and even regulatory penalties. With Nepal's banking sector experiencing rapid digital transformation, there is an urgent need for an automated, intelligent document processing solution.</w:t>
      </w:r>
    </w:p>
    <w:p>
      <w:r>
        <w:t xml:space="preserve"> </w:t>
      </w:r>
    </w:p>
    <w:p>
      <w:pPr>
        <w:pStyle w:val="Heading2"/>
        <w:spacing w:after="80" w:before="240"/>
      </w:pPr>
      <w:r>
        <w:rPr>
          <w:rFonts w:ascii="Arial" w:cs="Arial" w:eastAsia="Arial" w:hAnsi="Arial"/>
          <w:b/>
          <w:bCs/>
          <w:color w:val="2E75B6"/>
          <w:sz w:val="28"/>
          <w:szCs w:val="28"/>
        </w:rPr>
        <w:t xml:space="preserve">3. Objectives</w:t>
      </w:r>
    </w:p>
    <w:p>
      <w:pPr>
        <w:pStyle w:val="ListParagraph"/>
        <w:numPr>
          <w:ilvl w:val="0"/>
          <w:numId w:val="2"/>
        </w:numPr>
        <w:spacing w:after="40" w:before="40"/>
      </w:pPr>
      <w:r>
        <w:rPr>
          <w:rFonts w:ascii="Arial" w:cs="Arial" w:eastAsia="Arial" w:hAnsi="Arial"/>
          <w:sz w:val="22"/>
          <w:szCs w:val="22"/>
        </w:rPr>
        <w:t xml:space="preserve">Automatically classify incoming documents into predefined categories with 95%+ accuracy</w:t>
      </w:r>
    </w:p>
    <w:p>
      <w:pPr>
        <w:pStyle w:val="ListParagraph"/>
        <w:numPr>
          <w:ilvl w:val="0"/>
          <w:numId w:val="2"/>
        </w:numPr>
        <w:spacing w:after="40" w:before="40"/>
      </w:pPr>
      <w:r>
        <w:rPr>
          <w:rFonts w:ascii="Arial" w:cs="Arial" w:eastAsia="Arial" w:hAnsi="Arial"/>
          <w:sz w:val="22"/>
          <w:szCs w:val="22"/>
        </w:rPr>
        <w:t xml:space="preserve">Extract key data fields (name, ID number, date of birth, address, amounts) using OCR</w:t>
      </w:r>
    </w:p>
    <w:p>
      <w:pPr>
        <w:pStyle w:val="ListParagraph"/>
        <w:numPr>
          <w:ilvl w:val="0"/>
          <w:numId w:val="2"/>
        </w:numPr>
        <w:spacing w:after="40" w:before="40"/>
      </w:pPr>
      <w:r>
        <w:rPr>
          <w:rFonts w:ascii="Arial" w:cs="Arial" w:eastAsia="Arial" w:hAnsi="Arial"/>
          <w:sz w:val="22"/>
          <w:szCs w:val="22"/>
        </w:rPr>
        <w:t xml:space="preserve">Handle both scanned physical documents and digital PDFs in a unified pipeline</w:t>
      </w:r>
    </w:p>
    <w:p>
      <w:pPr>
        <w:pStyle w:val="ListParagraph"/>
        <w:numPr>
          <w:ilvl w:val="0"/>
          <w:numId w:val="2"/>
        </w:numPr>
        <w:spacing w:after="40" w:before="40"/>
      </w:pPr>
      <w:r>
        <w:rPr>
          <w:rFonts w:ascii="Arial" w:cs="Arial" w:eastAsia="Arial" w:hAnsi="Arial"/>
          <w:sz w:val="22"/>
          <w:szCs w:val="22"/>
        </w:rPr>
        <w:t xml:space="preserve">Reduce document processing time from ~5 minutes to under 30 seconds per document</w:t>
      </w:r>
    </w:p>
    <w:p>
      <w:pPr>
        <w:pStyle w:val="ListParagraph"/>
        <w:numPr>
          <w:ilvl w:val="0"/>
          <w:numId w:val="2"/>
        </w:numPr>
        <w:spacing w:after="40" w:before="40"/>
      </w:pPr>
      <w:r>
        <w:rPr>
          <w:rFonts w:ascii="Arial" w:cs="Arial" w:eastAsia="Arial" w:hAnsi="Arial"/>
          <w:sz w:val="22"/>
          <w:szCs w:val="22"/>
        </w:rPr>
        <w:t xml:space="preserve">Improve data entry accuracy from ~92% (manual) to 98%+ (automated)</w:t>
      </w:r>
    </w:p>
    <w:p>
      <w:pPr>
        <w:pStyle w:val="ListParagraph"/>
        <w:numPr>
          <w:ilvl w:val="0"/>
          <w:numId w:val="2"/>
        </w:numPr>
        <w:spacing w:after="40" w:before="40"/>
      </w:pPr>
      <w:r>
        <w:rPr>
          <w:rFonts w:ascii="Arial" w:cs="Arial" w:eastAsia="Arial" w:hAnsi="Arial"/>
          <w:sz w:val="22"/>
          <w:szCs w:val="22"/>
        </w:rPr>
        <w:t xml:space="preserve">Build a system that can be trained on new document types with minimal labeled data</w:t>
      </w:r>
    </w:p>
    <w:p>
      <w:r>
        <w:t xml:space="preserve"> </w:t>
      </w:r>
    </w:p>
    <w:p>
      <w:pPr>
        <w:pStyle w:val="Heading2"/>
        <w:spacing w:after="80" w:before="240"/>
      </w:pPr>
      <w:r>
        <w:rPr>
          <w:rFonts w:ascii="Arial" w:cs="Arial" w:eastAsia="Arial" w:hAnsi="Arial"/>
          <w:b/>
          <w:bCs/>
          <w:color w:val="2E75B6"/>
          <w:sz w:val="28"/>
          <w:szCs w:val="28"/>
        </w:rPr>
        <w:t xml:space="preserve">4. Document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Identity Documents</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Financial Documents</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Banking Documents</w:t>
            </w:r>
          </w:p>
        </w:tc>
      </w:tr>
      <w:tr>
        <w:tc>
          <w:tcPr>
            <w:tcW w:type="dxa" w:w="312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after="20" w:before="20"/>
            </w:pPr>
            <w:r>
              <w:rPr>
                <w:rFonts w:ascii="Arial" w:cs="Arial" w:eastAsia="Arial" w:hAnsi="Arial"/>
                <w:sz w:val="20"/>
                <w:szCs w:val="20"/>
              </w:rPr>
              <w:t xml:space="preserve">• Citizenship Certificate</w:t>
            </w:r>
          </w:p>
          <w:p>
            <w:pPr>
              <w:spacing w:after="20" w:before="20"/>
            </w:pPr>
            <w:r>
              <w:rPr>
                <w:rFonts w:ascii="Arial" w:cs="Arial" w:eastAsia="Arial" w:hAnsi="Arial"/>
                <w:sz w:val="20"/>
                <w:szCs w:val="20"/>
              </w:rPr>
              <w:t xml:space="preserve">• Passport</w:t>
            </w:r>
          </w:p>
          <w:p>
            <w:pPr>
              <w:spacing w:after="20" w:before="20"/>
            </w:pPr>
            <w:r>
              <w:rPr>
                <w:rFonts w:ascii="Arial" w:cs="Arial" w:eastAsia="Arial" w:hAnsi="Arial"/>
                <w:sz w:val="20"/>
                <w:szCs w:val="20"/>
              </w:rPr>
              <w:t xml:space="preserve">• Driving License</w:t>
            </w:r>
          </w:p>
          <w:p>
            <w:pPr>
              <w:spacing w:after="20" w:before="20"/>
            </w:pPr>
            <w:r>
              <w:rPr>
                <w:rFonts w:ascii="Arial" w:cs="Arial" w:eastAsia="Arial" w:hAnsi="Arial"/>
                <w:sz w:val="20"/>
                <w:szCs w:val="20"/>
              </w:rPr>
              <w:t xml:space="preserve">• PAN Card</w:t>
            </w:r>
          </w:p>
          <w:p>
            <w:pPr>
              <w:spacing w:after="20" w:before="20"/>
            </w:pPr>
            <w:r>
              <w:rPr>
                <w:rFonts w:ascii="Arial" w:cs="Arial" w:eastAsia="Arial" w:hAnsi="Arial"/>
                <w:sz w:val="20"/>
                <w:szCs w:val="20"/>
              </w:rPr>
              <w:t xml:space="preserve">• Voter ID</w:t>
            </w:r>
          </w:p>
        </w:tc>
        <w:tc>
          <w:tcPr>
            <w:tcW w:type="dxa" w:w="312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after="20" w:before="20"/>
            </w:pPr>
            <w:r>
              <w:rPr>
                <w:rFonts w:ascii="Arial" w:cs="Arial" w:eastAsia="Arial" w:hAnsi="Arial"/>
                <w:sz w:val="20"/>
                <w:szCs w:val="20"/>
              </w:rPr>
              <w:t xml:space="preserve">• Bank Statement</w:t>
            </w:r>
          </w:p>
          <w:p>
            <w:pPr>
              <w:spacing w:after="20" w:before="20"/>
            </w:pPr>
            <w:r>
              <w:rPr>
                <w:rFonts w:ascii="Arial" w:cs="Arial" w:eastAsia="Arial" w:hAnsi="Arial"/>
                <w:sz w:val="20"/>
                <w:szCs w:val="20"/>
              </w:rPr>
              <w:t xml:space="preserve">• Salary Certificate</w:t>
            </w:r>
          </w:p>
          <w:p>
            <w:pPr>
              <w:spacing w:after="20" w:before="20"/>
            </w:pPr>
            <w:r>
              <w:rPr>
                <w:rFonts w:ascii="Arial" w:cs="Arial" w:eastAsia="Arial" w:hAnsi="Arial"/>
                <w:sz w:val="20"/>
                <w:szCs w:val="20"/>
              </w:rPr>
              <w:t xml:space="preserve">• Tax Clearance</w:t>
            </w:r>
          </w:p>
          <w:p>
            <w:pPr>
              <w:spacing w:after="20" w:before="20"/>
            </w:pPr>
            <w:r>
              <w:rPr>
                <w:rFonts w:ascii="Arial" w:cs="Arial" w:eastAsia="Arial" w:hAnsi="Arial"/>
                <w:sz w:val="20"/>
                <w:szCs w:val="20"/>
              </w:rPr>
              <w:t xml:space="preserve">• Audit Report</w:t>
            </w:r>
          </w:p>
          <w:p>
            <w:pPr>
              <w:spacing w:after="20" w:before="20"/>
            </w:pPr>
            <w:r>
              <w:rPr>
                <w:rFonts w:ascii="Arial" w:cs="Arial" w:eastAsia="Arial" w:hAnsi="Arial"/>
                <w:sz w:val="20"/>
                <w:szCs w:val="20"/>
              </w:rPr>
              <w:t xml:space="preserve">• Income Statement</w:t>
            </w:r>
          </w:p>
        </w:tc>
        <w:tc>
          <w:tcPr>
            <w:tcW w:type="dxa" w:w="312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after="20" w:before="20"/>
            </w:pPr>
            <w:r>
              <w:rPr>
                <w:rFonts w:ascii="Arial" w:cs="Arial" w:eastAsia="Arial" w:hAnsi="Arial"/>
                <w:sz w:val="20"/>
                <w:szCs w:val="20"/>
              </w:rPr>
              <w:t xml:space="preserve">• Cheque</w:t>
            </w:r>
          </w:p>
          <w:p>
            <w:pPr>
              <w:spacing w:after="20" w:before="20"/>
            </w:pPr>
            <w:r>
              <w:rPr>
                <w:rFonts w:ascii="Arial" w:cs="Arial" w:eastAsia="Arial" w:hAnsi="Arial"/>
                <w:sz w:val="20"/>
                <w:szCs w:val="20"/>
              </w:rPr>
              <w:t xml:space="preserve">• Demand Draft</w:t>
            </w:r>
          </w:p>
          <w:p>
            <w:pPr>
              <w:spacing w:after="20" w:before="20"/>
            </w:pPr>
            <w:r>
              <w:rPr>
                <w:rFonts w:ascii="Arial" w:cs="Arial" w:eastAsia="Arial" w:hAnsi="Arial"/>
                <w:sz w:val="20"/>
                <w:szCs w:val="20"/>
              </w:rPr>
              <w:t xml:space="preserve">• Remittance Form</w:t>
            </w:r>
          </w:p>
          <w:p>
            <w:pPr>
              <w:spacing w:after="20" w:before="20"/>
            </w:pPr>
            <w:r>
              <w:rPr>
                <w:rFonts w:ascii="Arial" w:cs="Arial" w:eastAsia="Arial" w:hAnsi="Arial"/>
                <w:sz w:val="20"/>
                <w:szCs w:val="20"/>
              </w:rPr>
              <w:t xml:space="preserve">• KYC Form</w:t>
            </w:r>
          </w:p>
          <w:p>
            <w:pPr>
              <w:spacing w:after="20" w:before="20"/>
            </w:pPr>
            <w:r>
              <w:rPr>
                <w:rFonts w:ascii="Arial" w:cs="Arial" w:eastAsia="Arial" w:hAnsi="Arial"/>
                <w:sz w:val="20"/>
                <w:szCs w:val="20"/>
              </w:rPr>
              <w:t xml:space="preserve">• Loan Application</w:t>
            </w:r>
          </w:p>
        </w:tc>
      </w:tr>
    </w:tbl>
    <w:p>
      <w:r>
        <w:t xml:space="preserve"> </w:t>
      </w:r>
    </w:p>
    <w:p>
      <w:pPr>
        <w:pStyle w:val="Heading2"/>
        <w:spacing w:after="80" w:before="240"/>
      </w:pPr>
      <w:r>
        <w:rPr>
          <w:rFonts w:ascii="Arial" w:cs="Arial" w:eastAsia="Arial" w:hAnsi="Arial"/>
          <w:b/>
          <w:bCs/>
          <w:color w:val="2E75B6"/>
          <w:sz w:val="28"/>
          <w:szCs w:val="28"/>
        </w:rPr>
        <w:t xml:space="preserve">5. Proposed Solution — Pipeline Architecture</w:t>
      </w:r>
    </w:p>
    <w:p>
      <w:pPr>
        <w:spacing w:after="60" w:before="160"/>
      </w:pPr>
      <w:r>
        <w:rPr>
          <w:rFonts w:ascii="Arial" w:cs="Arial" w:eastAsia="Arial" w:hAnsi="Arial"/>
          <w:b/>
          <w:bCs/>
          <w:color w:val="C00000"/>
          <w:sz w:val="24"/>
          <w:szCs w:val="24"/>
        </w:rPr>
        <w:t xml:space="preserve">Stage 1: Input Preprocessing</w:t>
      </w:r>
    </w:p>
    <w:p>
      <w:pPr>
        <w:pStyle w:val="ListParagraph"/>
        <w:numPr>
          <w:ilvl w:val="0"/>
          <w:numId w:val="2"/>
        </w:numPr>
        <w:spacing w:after="40" w:before="40"/>
      </w:pPr>
      <w:r>
        <w:rPr>
          <w:rFonts w:ascii="Arial" w:cs="Arial" w:eastAsia="Arial" w:hAnsi="Arial"/>
          <w:sz w:val="22"/>
          <w:szCs w:val="22"/>
        </w:rPr>
        <w:t xml:space="preserve">Accept inputs: scanned image (JPG/PNG), digital PDF, or camera capture via mobile</w:t>
      </w:r>
    </w:p>
    <w:p>
      <w:pPr>
        <w:pStyle w:val="ListParagraph"/>
        <w:numPr>
          <w:ilvl w:val="0"/>
          <w:numId w:val="2"/>
        </w:numPr>
        <w:spacing w:after="40" w:before="40"/>
      </w:pPr>
      <w:r>
        <w:rPr>
          <w:rFonts w:ascii="Arial" w:cs="Arial" w:eastAsia="Arial" w:hAnsi="Arial"/>
          <w:sz w:val="22"/>
          <w:szCs w:val="22"/>
        </w:rPr>
        <w:t xml:space="preserve">Image enhancement: deskewing, noise removal, contrast normalization using OpenCV</w:t>
      </w:r>
    </w:p>
    <w:p>
      <w:pPr>
        <w:pStyle w:val="ListParagraph"/>
        <w:numPr>
          <w:ilvl w:val="0"/>
          <w:numId w:val="2"/>
        </w:numPr>
        <w:spacing w:after="40" w:before="40"/>
      </w:pPr>
      <w:r>
        <w:rPr>
          <w:rFonts w:ascii="Arial" w:cs="Arial" w:eastAsia="Arial" w:hAnsi="Arial"/>
          <w:sz w:val="22"/>
          <w:szCs w:val="22"/>
        </w:rPr>
        <w:t xml:space="preserve">PDF handling: convert each page to high-resolution image using pdf2image library</w:t>
      </w:r>
    </w:p>
    <w:p>
      <w:pPr>
        <w:pStyle w:val="ListParagraph"/>
        <w:numPr>
          <w:ilvl w:val="0"/>
          <w:numId w:val="2"/>
        </w:numPr>
        <w:spacing w:after="40" w:before="40"/>
      </w:pPr>
      <w:r>
        <w:rPr>
          <w:rFonts w:ascii="Arial" w:cs="Arial" w:eastAsia="Arial" w:hAnsi="Arial"/>
          <w:sz w:val="22"/>
          <w:szCs w:val="22"/>
        </w:rPr>
        <w:t xml:space="preserve">Output: standardized 300 DPI grayscale image ready for classification</w:t>
      </w:r>
    </w:p>
    <w:p>
      <w:r>
        <w:t xml:space="preserve"> </w:t>
      </w:r>
    </w:p>
    <w:p>
      <w:pPr>
        <w:spacing w:after="60" w:before="160"/>
      </w:pPr>
      <w:r>
        <w:rPr>
          <w:rFonts w:ascii="Arial" w:cs="Arial" w:eastAsia="Arial" w:hAnsi="Arial"/>
          <w:b/>
          <w:bCs/>
          <w:color w:val="C00000"/>
          <w:sz w:val="24"/>
          <w:szCs w:val="24"/>
        </w:rPr>
        <w:t xml:space="preserve">Stage 2: Document Classification (CNN)</w:t>
      </w:r>
    </w:p>
    <w:p>
      <w:pPr>
        <w:pStyle w:val="ListParagraph"/>
        <w:numPr>
          <w:ilvl w:val="0"/>
          <w:numId w:val="2"/>
        </w:numPr>
        <w:spacing w:after="40" w:before="40"/>
      </w:pPr>
      <w:r>
        <w:rPr>
          <w:rFonts w:ascii="Arial" w:cs="Arial" w:eastAsia="Arial" w:hAnsi="Arial"/>
          <w:sz w:val="22"/>
          <w:szCs w:val="22"/>
        </w:rPr>
        <w:t xml:space="preserve">Model: Fine-tuned EfficientNet-B3 pretrained on ImageNet</w:t>
      </w:r>
    </w:p>
    <w:p>
      <w:pPr>
        <w:pStyle w:val="ListParagraph"/>
        <w:numPr>
          <w:ilvl w:val="0"/>
          <w:numId w:val="2"/>
        </w:numPr>
        <w:spacing w:after="40" w:before="40"/>
      </w:pPr>
      <w:r>
        <w:rPr>
          <w:rFonts w:ascii="Arial" w:cs="Arial" w:eastAsia="Arial" w:hAnsi="Arial"/>
          <w:sz w:val="22"/>
          <w:szCs w:val="22"/>
        </w:rPr>
        <w:t xml:space="preserve">Training data: 500+ samples per document category, augmented with rotation/noise</w:t>
      </w:r>
    </w:p>
    <w:p>
      <w:pPr>
        <w:pStyle w:val="ListParagraph"/>
        <w:numPr>
          <w:ilvl w:val="0"/>
          <w:numId w:val="2"/>
        </w:numPr>
        <w:spacing w:after="40" w:before="40"/>
      </w:pPr>
      <w:r>
        <w:rPr>
          <w:rFonts w:ascii="Arial" w:cs="Arial" w:eastAsia="Arial" w:hAnsi="Arial"/>
          <w:sz w:val="22"/>
          <w:szCs w:val="22"/>
        </w:rPr>
        <w:t xml:space="preserve">Output: Document type label + confidence score (e.g., 'Citizenship Certificate: 97.3%')</w:t>
      </w:r>
    </w:p>
    <w:p>
      <w:pPr>
        <w:pStyle w:val="ListParagraph"/>
        <w:numPr>
          <w:ilvl w:val="0"/>
          <w:numId w:val="2"/>
        </w:numPr>
        <w:spacing w:after="40" w:before="40"/>
      </w:pPr>
      <w:r>
        <w:rPr>
          <w:rFonts w:ascii="Arial" w:cs="Arial" w:eastAsia="Arial" w:hAnsi="Arial"/>
          <w:sz w:val="22"/>
          <w:szCs w:val="22"/>
        </w:rPr>
        <w:t xml:space="preserve">Fallback: low-confidence documents flagged for manual review</w:t>
      </w:r>
    </w:p>
    <w:p>
      <w:r>
        <w:t xml:space="preserve"> </w:t>
      </w:r>
    </w:p>
    <w:p>
      <w:pPr>
        <w:spacing w:after="60" w:before="160"/>
      </w:pPr>
      <w:r>
        <w:rPr>
          <w:rFonts w:ascii="Arial" w:cs="Arial" w:eastAsia="Arial" w:hAnsi="Arial"/>
          <w:b/>
          <w:bCs/>
          <w:color w:val="C00000"/>
          <w:sz w:val="24"/>
          <w:szCs w:val="24"/>
        </w:rPr>
        <w:t xml:space="preserve">Stage 3: Text Extraction (OCR)</w:t>
      </w:r>
    </w:p>
    <w:p>
      <w:pPr>
        <w:pStyle w:val="ListParagraph"/>
        <w:numPr>
          <w:ilvl w:val="0"/>
          <w:numId w:val="2"/>
        </w:numPr>
        <w:spacing w:after="40" w:before="40"/>
      </w:pPr>
      <w:r>
        <w:rPr>
          <w:rFonts w:ascii="Arial" w:cs="Arial" w:eastAsia="Arial" w:hAnsi="Arial"/>
          <w:sz w:val="22"/>
          <w:szCs w:val="22"/>
        </w:rPr>
        <w:t xml:space="preserve">Primary OCR engine: Tesseract 5.0 with Nepali + English language packs</w:t>
      </w:r>
    </w:p>
    <w:p>
      <w:pPr>
        <w:pStyle w:val="ListParagraph"/>
        <w:numPr>
          <w:ilvl w:val="0"/>
          <w:numId w:val="2"/>
        </w:numPr>
        <w:spacing w:after="40" w:before="40"/>
      </w:pPr>
      <w:r>
        <w:rPr>
          <w:rFonts w:ascii="Arial" w:cs="Arial" w:eastAsia="Arial" w:hAnsi="Arial"/>
          <w:sz w:val="22"/>
          <w:szCs w:val="22"/>
        </w:rPr>
        <w:t xml:space="preserve">Alternative: EasyOCR for handwritten or stylized text regions</w:t>
      </w:r>
    </w:p>
    <w:p>
      <w:pPr>
        <w:pStyle w:val="ListParagraph"/>
        <w:numPr>
          <w:ilvl w:val="0"/>
          <w:numId w:val="2"/>
        </w:numPr>
        <w:spacing w:after="40" w:before="40"/>
      </w:pPr>
      <w:r>
        <w:rPr>
          <w:rFonts w:ascii="Arial" w:cs="Arial" w:eastAsia="Arial" w:hAnsi="Arial"/>
          <w:sz w:val="22"/>
          <w:szCs w:val="22"/>
        </w:rPr>
        <w:t xml:space="preserve">Region of Interest (ROI) detection: identify text zones per document type</w:t>
      </w:r>
    </w:p>
    <w:p>
      <w:pPr>
        <w:pStyle w:val="ListParagraph"/>
        <w:numPr>
          <w:ilvl w:val="0"/>
          <w:numId w:val="2"/>
        </w:numPr>
        <w:spacing w:after="40" w:before="40"/>
      </w:pPr>
      <w:r>
        <w:rPr>
          <w:rFonts w:ascii="Arial" w:cs="Arial" w:eastAsia="Arial" w:hAnsi="Arial"/>
          <w:sz w:val="22"/>
          <w:szCs w:val="22"/>
        </w:rPr>
        <w:t xml:space="preserve">Post-processing: spell correction, date normalization, number validation</w:t>
      </w:r>
    </w:p>
    <w:p>
      <w:r>
        <w:t xml:space="preserve"> </w:t>
      </w:r>
    </w:p>
    <w:p>
      <w:pPr>
        <w:spacing w:after="60" w:before="160"/>
      </w:pPr>
      <w:r>
        <w:rPr>
          <w:rFonts w:ascii="Arial" w:cs="Arial" w:eastAsia="Arial" w:hAnsi="Arial"/>
          <w:b/>
          <w:bCs/>
          <w:color w:val="C00000"/>
          <w:sz w:val="24"/>
          <w:szCs w:val="24"/>
        </w:rPr>
        <w:t xml:space="preserve">Stage 4: Structured Data Extraction (LayoutLM)</w:t>
      </w:r>
    </w:p>
    <w:p>
      <w:pPr>
        <w:pStyle w:val="ListParagraph"/>
        <w:numPr>
          <w:ilvl w:val="0"/>
          <w:numId w:val="2"/>
        </w:numPr>
        <w:spacing w:after="40" w:before="40"/>
      </w:pPr>
      <w:r>
        <w:rPr>
          <w:rFonts w:ascii="Arial" w:cs="Arial" w:eastAsia="Arial" w:hAnsi="Arial"/>
          <w:sz w:val="22"/>
          <w:szCs w:val="22"/>
        </w:rPr>
        <w:t xml:space="preserve">Model: LayoutLMv3 (Microsoft) fine-tuned for Nepali banking documents</w:t>
      </w:r>
    </w:p>
    <w:p>
      <w:pPr>
        <w:pStyle w:val="ListParagraph"/>
        <w:numPr>
          <w:ilvl w:val="0"/>
          <w:numId w:val="2"/>
        </w:numPr>
        <w:spacing w:after="40" w:before="40"/>
      </w:pPr>
      <w:r>
        <w:rPr>
          <w:rFonts w:ascii="Arial" w:cs="Arial" w:eastAsia="Arial" w:hAnsi="Arial"/>
          <w:sz w:val="22"/>
          <w:szCs w:val="22"/>
        </w:rPr>
        <w:t xml:space="preserve">Understands spatial layout: knows that 'Name' field is always in top-left of citizenship card</w:t>
      </w:r>
    </w:p>
    <w:p>
      <w:pPr>
        <w:pStyle w:val="ListParagraph"/>
        <w:numPr>
          <w:ilvl w:val="0"/>
          <w:numId w:val="2"/>
        </w:numPr>
        <w:spacing w:after="40" w:before="40"/>
      </w:pPr>
      <w:r>
        <w:rPr>
          <w:rFonts w:ascii="Arial" w:cs="Arial" w:eastAsia="Arial" w:hAnsi="Arial"/>
          <w:sz w:val="22"/>
          <w:szCs w:val="22"/>
        </w:rPr>
        <w:t xml:space="preserve">Extracts key-value pairs: Name → 'Ram Prasad Sharma', DOB → '1985-04-12'</w:t>
      </w:r>
    </w:p>
    <w:p>
      <w:pPr>
        <w:pStyle w:val="ListParagraph"/>
        <w:numPr>
          <w:ilvl w:val="0"/>
          <w:numId w:val="2"/>
        </w:numPr>
        <w:spacing w:after="40" w:before="40"/>
      </w:pPr>
      <w:r>
        <w:rPr>
          <w:rFonts w:ascii="Arial" w:cs="Arial" w:eastAsia="Arial" w:hAnsi="Arial"/>
          <w:sz w:val="22"/>
          <w:szCs w:val="22"/>
        </w:rPr>
        <w:t xml:space="preserve">Output: structured JSON record for database insertion</w:t>
      </w:r>
    </w:p>
    <w:p>
      <w:r>
        <w:t xml:space="preserve"> </w:t>
      </w:r>
    </w:p>
    <w:p>
      <w:pPr>
        <w:spacing w:after="60" w:before="160"/>
      </w:pPr>
      <w:r>
        <w:rPr>
          <w:rFonts w:ascii="Arial" w:cs="Arial" w:eastAsia="Arial" w:hAnsi="Arial"/>
          <w:b/>
          <w:bCs/>
          <w:color w:val="C00000"/>
          <w:sz w:val="24"/>
          <w:szCs w:val="24"/>
        </w:rPr>
        <w:t xml:space="preserve">Stage 5: Validation &amp; Output</w:t>
      </w:r>
    </w:p>
    <w:p>
      <w:pPr>
        <w:pStyle w:val="ListParagraph"/>
        <w:numPr>
          <w:ilvl w:val="0"/>
          <w:numId w:val="2"/>
        </w:numPr>
        <w:spacing w:after="40" w:before="40"/>
      </w:pPr>
      <w:r>
        <w:rPr>
          <w:rFonts w:ascii="Arial" w:cs="Arial" w:eastAsia="Arial" w:hAnsi="Arial"/>
          <w:sz w:val="22"/>
          <w:szCs w:val="22"/>
        </w:rPr>
        <w:t xml:space="preserve">Cross-validate extracted data: ID number format check, date validity, name consistency</w:t>
      </w:r>
    </w:p>
    <w:p>
      <w:pPr>
        <w:pStyle w:val="ListParagraph"/>
        <w:numPr>
          <w:ilvl w:val="0"/>
          <w:numId w:val="2"/>
        </w:numPr>
        <w:spacing w:after="40" w:before="40"/>
      </w:pPr>
      <w:r>
        <w:rPr>
          <w:rFonts w:ascii="Arial" w:cs="Arial" w:eastAsia="Arial" w:hAnsi="Arial"/>
          <w:sz w:val="22"/>
          <w:szCs w:val="22"/>
        </w:rPr>
        <w:t xml:space="preserve">Confidence threshold: fields below 85% confidence flagged for human verification</w:t>
      </w:r>
    </w:p>
    <w:p>
      <w:pPr>
        <w:pStyle w:val="ListParagraph"/>
        <w:numPr>
          <w:ilvl w:val="0"/>
          <w:numId w:val="2"/>
        </w:numPr>
        <w:spacing w:after="40" w:before="40"/>
      </w:pPr>
      <w:r>
        <w:rPr>
          <w:rFonts w:ascii="Arial" w:cs="Arial" w:eastAsia="Arial" w:hAnsi="Arial"/>
          <w:sz w:val="22"/>
          <w:szCs w:val="22"/>
        </w:rPr>
        <w:t xml:space="preserve">Output formats: JSON (for API), CSV (for batch processing), direct database write</w:t>
      </w:r>
    </w:p>
    <w:p>
      <w:r>
        <w:t xml:space="preserve"> </w:t>
      </w:r>
    </w:p>
    <w:p>
      <w:pPr>
        <w:pStyle w:val="Heading2"/>
        <w:spacing w:after="80" w:before="240"/>
      </w:pPr>
      <w:r>
        <w:rPr>
          <w:rFonts w:ascii="Arial" w:cs="Arial" w:eastAsia="Arial" w:hAnsi="Arial"/>
          <w:b/>
          <w:bCs/>
          <w:color w:val="2E75B6"/>
          <w:sz w:val="28"/>
          <w:szCs w:val="28"/>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Python 3.10+</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Image Processing</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OpenCV, Pillow, pdf2image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Classification Model</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EfficientNet-B3 via TensorFlow/Keras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OCR Engine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Tesseract 5.0, EasyOCR</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Layout Understanding</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LayoutLMv3 (Hugging Face Transformers)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API Layer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FastAPI — RESTful endpoints for document upload</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Frontend Demo</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Streamlit — drag-and-drop document upload interface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Storage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PostgreSQL (structured data), MinIO (original documents)</w:t>
            </w:r>
          </w:p>
        </w:tc>
      </w:tr>
    </w:tbl>
    <w:p>
      <w:r>
        <w:t xml:space="preserve"> </w:t>
      </w:r>
    </w:p>
    <w:p>
      <w:pPr>
        <w:pStyle w:val="Heading2"/>
        <w:spacing w:after="80" w:before="240"/>
      </w:pPr>
      <w:r>
        <w:rPr>
          <w:rFonts w:ascii="Arial" w:cs="Arial" w:eastAsia="Arial" w:hAnsi="Arial"/>
          <w:b/>
          <w:bCs/>
          <w:color w:val="2E75B6"/>
          <w:sz w:val="28"/>
          <w:szCs w:val="28"/>
        </w:rPr>
        <w:t xml:space="preserve">7. Dataset Strategy</w:t>
      </w:r>
    </w:p>
    <w:p>
      <w:pPr>
        <w:pStyle w:val="ListParagraph"/>
        <w:numPr>
          <w:ilvl w:val="0"/>
          <w:numId w:val="2"/>
        </w:numPr>
        <w:spacing w:after="40" w:before="40"/>
      </w:pPr>
      <w:r>
        <w:rPr>
          <w:rFonts w:ascii="Arial" w:cs="Arial" w:eastAsia="Arial" w:hAnsi="Arial"/>
          <w:sz w:val="22"/>
          <w:szCs w:val="22"/>
        </w:rPr>
        <w:t xml:space="preserve">Primary: Collect and anonymize 500–1000 sample documents per category from GIBL (with consent)</w:t>
      </w:r>
    </w:p>
    <w:p>
      <w:pPr>
        <w:pStyle w:val="ListParagraph"/>
        <w:numPr>
          <w:ilvl w:val="0"/>
          <w:numId w:val="2"/>
        </w:numPr>
        <w:spacing w:after="40" w:before="40"/>
      </w:pPr>
      <w:r>
        <w:rPr>
          <w:rFonts w:ascii="Arial" w:cs="Arial" w:eastAsia="Arial" w:hAnsi="Arial"/>
          <w:sz w:val="22"/>
          <w:szCs w:val="22"/>
        </w:rPr>
        <w:t xml:space="preserve">Public datasets: FUNSD (form understanding), CORD (receipt understanding), DocVQA</w:t>
      </w:r>
    </w:p>
    <w:p>
      <w:pPr>
        <w:pStyle w:val="ListParagraph"/>
        <w:numPr>
          <w:ilvl w:val="0"/>
          <w:numId w:val="2"/>
        </w:numPr>
        <w:spacing w:after="40" w:before="40"/>
      </w:pPr>
      <w:r>
        <w:rPr>
          <w:rFonts w:ascii="Arial" w:cs="Arial" w:eastAsia="Arial" w:hAnsi="Arial"/>
          <w:sz w:val="22"/>
          <w:szCs w:val="22"/>
        </w:rPr>
        <w:t xml:space="preserve">Data augmentation: rotation (±15°), brightness variation, noise injection to simulate poor scan quality</w:t>
      </w:r>
    </w:p>
    <w:p>
      <w:pPr>
        <w:pStyle w:val="ListParagraph"/>
        <w:numPr>
          <w:ilvl w:val="0"/>
          <w:numId w:val="2"/>
        </w:numPr>
        <w:spacing w:after="40" w:before="40"/>
      </w:pPr>
      <w:r>
        <w:rPr>
          <w:rFonts w:ascii="Arial" w:cs="Arial" w:eastAsia="Arial" w:hAnsi="Arial"/>
          <w:sz w:val="22"/>
          <w:szCs w:val="22"/>
        </w:rPr>
        <w:t xml:space="preserve">Labeling: semi-automatic labeling using pre-annotation tools (Label Studio) + human review</w:t>
      </w:r>
    </w:p>
    <w:p>
      <w:r>
        <w:t xml:space="preserve"> </w:t>
      </w:r>
    </w:p>
    <w:p>
      <w:pPr>
        <w:pStyle w:val="Heading2"/>
        <w:spacing w:after="80" w:before="240"/>
      </w:pPr>
      <w:r>
        <w:rPr>
          <w:rFonts w:ascii="Arial" w:cs="Arial" w:eastAsia="Arial" w:hAnsi="Arial"/>
          <w:b/>
          <w:bCs/>
          <w:color w:val="2E75B6"/>
          <w:sz w:val="28"/>
          <w:szCs w:val="28"/>
        </w:rPr>
        <w:t xml:space="preserve">8. Expected Outcomes &amp;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Classification Accuracy</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&gt; 96%</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Key Field Extraction Accuracy</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&gt; 94% character-level</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Processing Time per Document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&lt; 30 seconds (vs. 5+ minutes manual)</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Throughput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500+ documents per hour per server instance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Reduction in Manual Data Entry</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85% reduction in staff time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Error Rate Reduction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From ~8% manual to &lt; 2% automated</w:t>
            </w:r>
          </w:p>
        </w:tc>
      </w:tr>
    </w:tbl>
    <w:p>
      <w:r>
        <w:t xml:space="preserve"> </w:t>
      </w:r>
    </w:p>
    <w:p>
      <w:pPr>
        <w:pStyle w:val="Heading2"/>
        <w:spacing w:after="80" w:before="240"/>
      </w:pPr>
      <w:r>
        <w:rPr>
          <w:rFonts w:ascii="Arial" w:cs="Arial" w:eastAsia="Arial" w:hAnsi="Arial"/>
          <w:b/>
          <w:bCs/>
          <w:color w:val="2E75B6"/>
          <w:sz w:val="28"/>
          <w:szCs w:val="28"/>
        </w:rPr>
        <w:t xml:space="preserve">9. Conclusion</w:t>
      </w:r>
    </w:p>
    <w:p>
      <w:pPr>
        <w:spacing w:after="80" w:before="60"/>
        <w:jc w:val="both"/>
      </w:pPr>
      <w:r>
        <w:rPr>
          <w:rFonts w:ascii="Arial" w:cs="Arial" w:eastAsia="Arial" w:hAnsi="Arial"/>
          <w:sz w:val="22"/>
          <w:szCs w:val="22"/>
        </w:rPr>
        <w:t xml:space="preserve">The proposed Intelligent Document Processing pipeline addresses one of the most persistent operational bottlenecks in banking — manual document handling. By combining state-of-the-art computer vision, OCR, and layout-aware language models, the system delivers fast, accurate, and scalable document classification and data extraction. For Global IME Bank, this directly translates to faster customer onboarding (account opening time reduced from days to hours), improved KYC compliance, and significant cost savings in back-office operations. The modular architecture ensures the system can easily accommodate new document types as regulatory requirements evolve.</w:t>
      </w:r>
    </w:p>
    <w:p>
      <w:r>
        <w:t xml:space="preserve"> </w:t>
      </w:r>
    </w:p>
    <w:p>
      <w:r>
        <w:br w:type="page"/>
      </w:r>
    </w:p>
    <w:p>
      <w:pPr>
        <w:spacing w:after="60" w:before="0"/>
        <w:jc w:val="center"/>
      </w:pPr>
      <w:r>
        <w:rPr>
          <w:rFonts w:ascii="Arial" w:cs="Arial" w:eastAsia="Arial" w:hAnsi="Arial"/>
          <w:b/>
          <w:bCs/>
          <w:color w:val="2E75B6"/>
          <w:sz w:val="20"/>
          <w:szCs w:val="20"/>
        </w:rPr>
        <w:t xml:space="preserve">CONCEPT PAPER — CHALLENGE 3</w:t>
      </w:r>
    </w:p>
    <w:p>
      <w:pPr>
        <w:pStyle w:val="Heading1"/>
        <w:pBdr>
          <w:bottom w:val="single" w:color="2E75B6" w:sz="8" w:space="4"/>
        </w:pBdr>
        <w:spacing w:after="120" w:before="360"/>
      </w:pPr>
      <w:r>
        <w:rPr>
          <w:rFonts w:ascii="Arial" w:cs="Arial" w:eastAsia="Arial" w:hAnsi="Arial"/>
          <w:b/>
          <w:bCs/>
          <w:color w:val="1F4E79"/>
          <w:sz w:val="36"/>
          <w:szCs w:val="36"/>
        </w:rPr>
        <w:t xml:space="preserve">Personalized Financial Management &amp; Customer Retention Using AI</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Participant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[Your Full Name]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Institution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[Your College / University]</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Challenge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Challenge 3: Personalized Financial Management &amp; Retention Offers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Submission Date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April 4, 2025</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Contact Email</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[your.email@example.com]</w:t>
            </w:r>
          </w:p>
        </w:tc>
      </w:tr>
    </w:tbl>
    <w:p>
      <w:r>
        <w:t xml:space="preserve"> </w:t>
      </w:r>
    </w:p>
    <w:p>
      <w:pPr>
        <w:pStyle w:val="Heading2"/>
        <w:spacing w:after="80" w:before="240"/>
      </w:pPr>
      <w:r>
        <w:rPr>
          <w:rFonts w:ascii="Arial" w:cs="Arial" w:eastAsia="Arial" w:hAnsi="Arial"/>
          <w:b/>
          <w:bCs/>
          <w:color w:val="2E75B6"/>
          <w:sz w:val="28"/>
          <w:szCs w:val="28"/>
        </w:rPr>
        <w:t xml:space="preserve">1.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Summary</w:t>
            </w:r>
          </w:p>
        </w:tc>
      </w:tr>
      <w:tr>
        <w:tc>
          <w:tcPr>
            <w:tcW w:type="dxa" w:w="9360"/>
            <w:tcBorders>
              <w:top w:val="single" w:color="AAAAAA" w:sz="1"/>
              <w:left w:val="single" w:color="AAAAAA" w:sz="1"/>
              <w:bottom w:val="single" w:color="AAAAAA" w:sz="1"/>
              <w:right w:val="single" w:color="AAAAAA" w:sz="1"/>
            </w:tcBorders>
            <w:shd w:fill="F9FBFD" w:val="clear"/>
            <w:tcMar>
              <w:top w:type="dxa" w:w="100"/>
              <w:left w:type="dxa" w:w="160"/>
              <w:bottom w:type="dxa" w:w="100"/>
              <w:right w:type="dxa" w:w="160"/>
            </w:tcMar>
          </w:tcPr>
          <w:p>
            <w:pPr>
              <w:spacing w:after="60" w:before="60"/>
              <w:jc w:val="both"/>
            </w:pPr>
            <w:r>
              <w:rPr>
                <w:rFonts w:ascii="Arial" w:cs="Arial" w:eastAsia="Arial" w:hAnsi="Arial"/>
                <w:sz w:val="22"/>
                <w:szCs w:val="22"/>
              </w:rPr>
              <w:t xml:space="preserve">Customer retention is one of the most significant challenges facing modern banks in Nepal's increasingly competitive financial sector. Studies show that acquiring a new customer costs 5–7 times more than retaining an existing one, making churn prevention a high-priority strategic objective. This paper proposes an AI-driven Personalized Financial Management and Customer Retention System for Global IME Bank that combines behavioral analytics, predictive churn modeling, and a recommendation engine to deliver hyper-personalized financial offers and services to each customer. The system uses RFM (Recency-Frequency-Monetary) analysis for customer segmentation, gradient boosting models for churn prediction, and collaborative filtering for product recommendations. By proactively identifying at-risk customers and engaging them with relevant, timely offers — via mobile app, SMS, or relationship manager — the bank can significantly reduce churn and increase customer lifetime value.</w:t>
            </w:r>
          </w:p>
        </w:tc>
      </w:tr>
    </w:tbl>
    <w:p>
      <w:r>
        <w:t xml:space="preserve"> </w:t>
      </w:r>
    </w:p>
    <w:p>
      <w:pPr>
        <w:pStyle w:val="Heading2"/>
        <w:spacing w:after="80" w:before="240"/>
      </w:pPr>
      <w:r>
        <w:rPr>
          <w:rFonts w:ascii="Arial" w:cs="Arial" w:eastAsia="Arial" w:hAnsi="Arial"/>
          <w:b/>
          <w:bCs/>
          <w:color w:val="2E75B6"/>
          <w:sz w:val="28"/>
          <w:szCs w:val="28"/>
        </w:rPr>
        <w:t xml:space="preserve">2. Problem Statement</w:t>
      </w:r>
    </w:p>
    <w:p>
      <w:pPr>
        <w:spacing w:after="80" w:before="60"/>
        <w:jc w:val="both"/>
      </w:pPr>
      <w:r>
        <w:rPr>
          <w:rFonts w:ascii="Arial" w:cs="Arial" w:eastAsia="Arial" w:hAnsi="Arial"/>
          <w:sz w:val="22"/>
          <w:szCs w:val="22"/>
        </w:rPr>
        <w:t xml:space="preserve">Global IME Bank serves a diverse customer base ranging from daily wage workers and small business owners to salaried professionals and high-net-worth individuals. Despite this diversity, most banking offers and communications are generic and broadcast to all customers equally — a fixed deposit promotion, a loan offer, or a credit card campaign sent to every customer regardless of their financial profile or behavior.</w:t>
      </w:r>
    </w:p>
    <w:p>
      <w:pPr>
        <w:spacing w:after="80" w:before="60"/>
        <w:jc w:val="both"/>
      </w:pPr>
      <w:r>
        <w:rPr>
          <w:rFonts w:ascii="Arial" w:cs="Arial" w:eastAsia="Arial" w:hAnsi="Arial"/>
          <w:sz w:val="22"/>
          <w:szCs w:val="22"/>
        </w:rPr>
        <w:t xml:space="preserve">This one-size-fits-all approach results in poor engagement, low offer conversion rates, and — most critically — customer attrition. Customers who feel misunderstood by their bank are significantly more likely to switch to competitors or fintech alternatives. Additionally, when customers do decide to leave, the bank typically has no early warning system to intervene before the relationship is lost.</w:t>
      </w:r>
    </w:p>
    <w:p>
      <w:pPr>
        <w:spacing w:after="80" w:before="60"/>
        <w:jc w:val="both"/>
      </w:pPr>
      <w:r>
        <w:rPr>
          <w:rFonts w:ascii="Arial" w:cs="Arial" w:eastAsia="Arial" w:hAnsi="Arial"/>
          <w:sz w:val="22"/>
          <w:szCs w:val="22"/>
        </w:rPr>
        <w:t xml:space="preserve">A data-driven personalization system that understands each customer's unique financial behavior, life stage, and needs — and proactively engages them with relevant offers — is critical for sustainable customer retention and revenue growth.</w:t>
      </w:r>
    </w:p>
    <w:p>
      <w:r>
        <w:t xml:space="preserve"> </w:t>
      </w:r>
    </w:p>
    <w:p>
      <w:pPr>
        <w:pStyle w:val="Heading2"/>
        <w:spacing w:after="80" w:before="240"/>
      </w:pPr>
      <w:r>
        <w:rPr>
          <w:rFonts w:ascii="Arial" w:cs="Arial" w:eastAsia="Arial" w:hAnsi="Arial"/>
          <w:b/>
          <w:bCs/>
          <w:color w:val="2E75B6"/>
          <w:sz w:val="28"/>
          <w:szCs w:val="28"/>
        </w:rPr>
        <w:t xml:space="preserve">3. Objectives</w:t>
      </w:r>
    </w:p>
    <w:p>
      <w:pPr>
        <w:pStyle w:val="ListParagraph"/>
        <w:numPr>
          <w:ilvl w:val="0"/>
          <w:numId w:val="2"/>
        </w:numPr>
        <w:spacing w:after="40" w:before="40"/>
      </w:pPr>
      <w:r>
        <w:rPr>
          <w:rFonts w:ascii="Arial" w:cs="Arial" w:eastAsia="Arial" w:hAnsi="Arial"/>
          <w:sz w:val="22"/>
          <w:szCs w:val="22"/>
        </w:rPr>
        <w:t xml:space="preserve">Segment customers into meaningful behavioral groups using transaction data</w:t>
      </w:r>
    </w:p>
    <w:p>
      <w:pPr>
        <w:pStyle w:val="ListParagraph"/>
        <w:numPr>
          <w:ilvl w:val="0"/>
          <w:numId w:val="2"/>
        </w:numPr>
        <w:spacing w:after="40" w:before="40"/>
      </w:pPr>
      <w:r>
        <w:rPr>
          <w:rFonts w:ascii="Arial" w:cs="Arial" w:eastAsia="Arial" w:hAnsi="Arial"/>
          <w:sz w:val="22"/>
          <w:szCs w:val="22"/>
        </w:rPr>
        <w:t xml:space="preserve">Predict churn probability for each customer 30–60 days before they become inactive</w:t>
      </w:r>
    </w:p>
    <w:p>
      <w:pPr>
        <w:pStyle w:val="ListParagraph"/>
        <w:numPr>
          <w:ilvl w:val="0"/>
          <w:numId w:val="2"/>
        </w:numPr>
        <w:spacing w:after="40" w:before="40"/>
      </w:pPr>
      <w:r>
        <w:rPr>
          <w:rFonts w:ascii="Arial" w:cs="Arial" w:eastAsia="Arial" w:hAnsi="Arial"/>
          <w:sz w:val="22"/>
          <w:szCs w:val="22"/>
        </w:rPr>
        <w:t xml:space="preserve">Recommend the most relevant financial products to each customer segment</w:t>
      </w:r>
    </w:p>
    <w:p>
      <w:pPr>
        <w:pStyle w:val="ListParagraph"/>
        <w:numPr>
          <w:ilvl w:val="0"/>
          <w:numId w:val="2"/>
        </w:numPr>
        <w:spacing w:after="40" w:before="40"/>
      </w:pPr>
      <w:r>
        <w:rPr>
          <w:rFonts w:ascii="Arial" w:cs="Arial" w:eastAsia="Arial" w:hAnsi="Arial"/>
          <w:sz w:val="22"/>
          <w:szCs w:val="22"/>
        </w:rPr>
        <w:t xml:space="preserve">Deliver personalized interventions through the most effective communication channel</w:t>
      </w:r>
    </w:p>
    <w:p>
      <w:pPr>
        <w:pStyle w:val="ListParagraph"/>
        <w:numPr>
          <w:ilvl w:val="0"/>
          <w:numId w:val="2"/>
        </w:numPr>
        <w:spacing w:after="40" w:before="40"/>
      </w:pPr>
      <w:r>
        <w:rPr>
          <w:rFonts w:ascii="Arial" w:cs="Arial" w:eastAsia="Arial" w:hAnsi="Arial"/>
          <w:sz w:val="22"/>
          <w:szCs w:val="22"/>
        </w:rPr>
        <w:t xml:space="preserve">Measure and continuously improve offer conversion rates and customer satisfaction scores</w:t>
      </w:r>
    </w:p>
    <w:p>
      <w:pPr>
        <w:pStyle w:val="ListParagraph"/>
        <w:numPr>
          <w:ilvl w:val="0"/>
          <w:numId w:val="2"/>
        </w:numPr>
        <w:spacing w:after="40" w:before="40"/>
      </w:pPr>
      <w:r>
        <w:rPr>
          <w:rFonts w:ascii="Arial" w:cs="Arial" w:eastAsia="Arial" w:hAnsi="Arial"/>
          <w:sz w:val="22"/>
          <w:szCs w:val="22"/>
        </w:rPr>
        <w:t xml:space="preserve">Reduce overall customer churn rate by at least 25% within 12 months of deployment</w:t>
      </w:r>
    </w:p>
    <w:p>
      <w:r>
        <w:t xml:space="preserve"> </w:t>
      </w:r>
    </w:p>
    <w:p>
      <w:pPr>
        <w:pStyle w:val="Heading2"/>
        <w:spacing w:after="80" w:before="240"/>
      </w:pPr>
      <w:r>
        <w:rPr>
          <w:rFonts w:ascii="Arial" w:cs="Arial" w:eastAsia="Arial" w:hAnsi="Arial"/>
          <w:b/>
          <w:bCs/>
          <w:color w:val="2E75B6"/>
          <w:sz w:val="28"/>
          <w:szCs w:val="28"/>
        </w:rPr>
        <w:t xml:space="preserve">4. System Architecture</w:t>
      </w:r>
    </w:p>
    <w:p>
      <w:pPr>
        <w:spacing w:after="60" w:before="160"/>
      </w:pPr>
      <w:r>
        <w:rPr>
          <w:rFonts w:ascii="Arial" w:cs="Arial" w:eastAsia="Arial" w:hAnsi="Arial"/>
          <w:b/>
          <w:bCs/>
          <w:color w:val="C00000"/>
          <w:sz w:val="24"/>
          <w:szCs w:val="24"/>
        </w:rPr>
        <w:t xml:space="preserve">Module 1: Customer Segmentation — RFM Analysis</w:t>
      </w:r>
    </w:p>
    <w:p>
      <w:pPr>
        <w:spacing w:after="80" w:before="60"/>
        <w:jc w:val="both"/>
      </w:pPr>
      <w:r>
        <w:rPr>
          <w:rFonts w:ascii="Arial" w:cs="Arial" w:eastAsia="Arial" w:hAnsi="Arial"/>
          <w:sz w:val="22"/>
          <w:szCs w:val="22"/>
        </w:rPr>
        <w:t xml:space="preserve">Every customer is profiled using three core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44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R — Recency</w:t>
            </w:r>
          </w:p>
        </w:tc>
        <w:tc>
          <w:tcPr>
            <w:tcW w:type="dxa" w:w="3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Days since last transaction</w:t>
            </w:r>
          </w:p>
        </w:tc>
        <w:tc>
          <w:tcPr>
            <w:tcW w:type="dxa" w:w="3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Customer last transacted 92 days ago → High churn risk</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 — Frequency</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Number of transactions in last 90 days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Only 2 transactions in 3 months → Low engagement</w:t>
            </w:r>
          </w:p>
        </w:tc>
      </w:tr>
      <w:tr>
        <w:tc>
          <w:tcPr>
            <w:tcW w:type="dxa" w:w="144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M — Monetary</w:t>
            </w:r>
          </w:p>
        </w:tc>
        <w:tc>
          <w:tcPr>
            <w:tcW w:type="dxa" w:w="3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Average transaction value in last 90 days</w:t>
            </w:r>
          </w:p>
        </w:tc>
        <w:tc>
          <w:tcPr>
            <w:tcW w:type="dxa" w:w="3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Average NPR 45,000 per transaction → Medium-value segment</w:t>
            </w:r>
          </w:p>
        </w:tc>
      </w:tr>
    </w:tbl>
    <w:p>
      <w:r>
        <w:t xml:space="preserve"> </w:t>
      </w:r>
    </w:p>
    <w:p>
      <w:pPr>
        <w:spacing w:after="80" w:before="60"/>
        <w:jc w:val="both"/>
      </w:pPr>
      <w:r>
        <w:rPr>
          <w:rFonts w:ascii="Arial" w:cs="Arial" w:eastAsia="Arial" w:hAnsi="Arial"/>
          <w:sz w:val="22"/>
          <w:szCs w:val="22"/>
        </w:rPr>
        <w:t xml:space="preserve">K-Means clustering on RFM scores produces 5 customer segments: Champions, Loyal Customers, Potential Loyalists, At-Risk Customers, and Churned Customers. Each segment receives a tailored engagement strategy.</w:t>
      </w:r>
    </w:p>
    <w:p>
      <w:r>
        <w:t xml:space="preserve"> </w:t>
      </w:r>
    </w:p>
    <w:p>
      <w:pPr>
        <w:spacing w:after="60" w:before="160"/>
      </w:pPr>
      <w:r>
        <w:rPr>
          <w:rFonts w:ascii="Arial" w:cs="Arial" w:eastAsia="Arial" w:hAnsi="Arial"/>
          <w:b/>
          <w:bCs/>
          <w:color w:val="C00000"/>
          <w:sz w:val="24"/>
          <w:szCs w:val="24"/>
        </w:rPr>
        <w:t xml:space="preserve">Module 2: Churn Prediction Model</w:t>
      </w:r>
    </w:p>
    <w:p>
      <w:pPr>
        <w:pStyle w:val="ListParagraph"/>
        <w:numPr>
          <w:ilvl w:val="0"/>
          <w:numId w:val="2"/>
        </w:numPr>
        <w:spacing w:after="40" w:before="40"/>
      </w:pPr>
      <w:r>
        <w:rPr>
          <w:rFonts w:ascii="Arial" w:cs="Arial" w:eastAsia="Arial" w:hAnsi="Arial"/>
          <w:sz w:val="22"/>
          <w:szCs w:val="22"/>
        </w:rPr>
        <w:t xml:space="preserve">Algorithm: XGBoost Classifier with hyperparameter tuning via GridSearchCV</w:t>
      </w:r>
    </w:p>
    <w:p>
      <w:pPr>
        <w:pStyle w:val="ListParagraph"/>
        <w:numPr>
          <w:ilvl w:val="0"/>
          <w:numId w:val="2"/>
        </w:numPr>
        <w:spacing w:after="40" w:before="40"/>
      </w:pPr>
      <w:r>
        <w:rPr>
          <w:rFonts w:ascii="Arial" w:cs="Arial" w:eastAsia="Arial" w:hAnsi="Arial"/>
          <w:sz w:val="22"/>
          <w:szCs w:val="22"/>
        </w:rPr>
        <w:t xml:space="preserve">Target variable: Binary — churned (inactive 90+ days) vs. active</w:t>
      </w:r>
    </w:p>
    <w:p>
      <w:pPr>
        <w:pStyle w:val="ListParagraph"/>
        <w:numPr>
          <w:ilvl w:val="0"/>
          <w:numId w:val="2"/>
        </w:numPr>
        <w:spacing w:after="40" w:before="40"/>
      </w:pPr>
      <w:r>
        <w:rPr>
          <w:rFonts w:ascii="Arial" w:cs="Arial" w:eastAsia="Arial" w:hAnsi="Arial"/>
          <w:sz w:val="22"/>
          <w:szCs w:val="22"/>
        </w:rPr>
        <w:t xml:space="preserve">Key features: login frequency decline, transaction volume drop, support complaints, competitor mentions, life events (salary credit stopped, EMI defaults)</w:t>
      </w:r>
    </w:p>
    <w:p>
      <w:pPr>
        <w:pStyle w:val="ListParagraph"/>
        <w:numPr>
          <w:ilvl w:val="0"/>
          <w:numId w:val="2"/>
        </w:numPr>
        <w:spacing w:after="40" w:before="40"/>
      </w:pPr>
      <w:r>
        <w:rPr>
          <w:rFonts w:ascii="Arial" w:cs="Arial" w:eastAsia="Arial" w:hAnsi="Arial"/>
          <w:sz w:val="22"/>
          <w:szCs w:val="22"/>
        </w:rPr>
        <w:t xml:space="preserve">Output: Churn probability score (0–100%) for each customer, refreshed weekly</w:t>
      </w:r>
    </w:p>
    <w:p>
      <w:pPr>
        <w:pStyle w:val="ListParagraph"/>
        <w:numPr>
          <w:ilvl w:val="0"/>
          <w:numId w:val="2"/>
        </w:numPr>
        <w:spacing w:after="40" w:before="40"/>
      </w:pPr>
      <w:r>
        <w:rPr>
          <w:rFonts w:ascii="Arial" w:cs="Arial" w:eastAsia="Arial" w:hAnsi="Arial"/>
          <w:sz w:val="22"/>
          <w:szCs w:val="22"/>
        </w:rPr>
        <w:t xml:space="preserve">Threshold: Customers with &gt; 65% churn probability enter the retention workflow</w:t>
      </w:r>
    </w:p>
    <w:p>
      <w:r>
        <w:t xml:space="preserve"> </w:t>
      </w:r>
    </w:p>
    <w:p>
      <w:pPr>
        <w:spacing w:after="60" w:before="160"/>
      </w:pPr>
      <w:r>
        <w:rPr>
          <w:rFonts w:ascii="Arial" w:cs="Arial" w:eastAsia="Arial" w:hAnsi="Arial"/>
          <w:b/>
          <w:bCs/>
          <w:color w:val="C00000"/>
          <w:sz w:val="24"/>
          <w:szCs w:val="24"/>
        </w:rPr>
        <w:t xml:space="preserve">Module 3: Personalized Recommendation Engine</w:t>
      </w:r>
    </w:p>
    <w:p>
      <w:pPr>
        <w:pStyle w:val="ListParagraph"/>
        <w:numPr>
          <w:ilvl w:val="0"/>
          <w:numId w:val="2"/>
        </w:numPr>
        <w:spacing w:after="40" w:before="40"/>
      </w:pPr>
      <w:r>
        <w:rPr>
          <w:rFonts w:ascii="Arial" w:cs="Arial" w:eastAsia="Arial" w:hAnsi="Arial"/>
          <w:sz w:val="22"/>
          <w:szCs w:val="22"/>
        </w:rPr>
        <w:t xml:space="preserve">Collaborative Filtering: 'Customers with similar profiles took a Fixed Deposit — you might benefit too'</w:t>
      </w:r>
    </w:p>
    <w:p>
      <w:pPr>
        <w:pStyle w:val="ListParagraph"/>
        <w:numPr>
          <w:ilvl w:val="0"/>
          <w:numId w:val="2"/>
        </w:numPr>
        <w:spacing w:after="40" w:before="40"/>
      </w:pPr>
      <w:r>
        <w:rPr>
          <w:rFonts w:ascii="Arial" w:cs="Arial" w:eastAsia="Arial" w:hAnsi="Arial"/>
          <w:sz w:val="22"/>
          <w:szCs w:val="22"/>
        </w:rPr>
        <w:t xml:space="preserve">Content-Based Filtering: Match product features to customer financial profile and life stage</w:t>
      </w:r>
    </w:p>
    <w:p>
      <w:pPr>
        <w:pStyle w:val="ListParagraph"/>
        <w:numPr>
          <w:ilvl w:val="0"/>
          <w:numId w:val="2"/>
        </w:numPr>
        <w:spacing w:after="40" w:before="40"/>
      </w:pPr>
      <w:r>
        <w:rPr>
          <w:rFonts w:ascii="Arial" w:cs="Arial" w:eastAsia="Arial" w:hAnsi="Arial"/>
          <w:sz w:val="22"/>
          <w:szCs w:val="22"/>
        </w:rPr>
        <w:t xml:space="preserve">Rule-Based Layer: Hard rules for regulatory compliance (e.g., no loan offer to customers with existing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Customer Segment</w:t>
            </w:r>
          </w:p>
        </w:tc>
        <w:tc>
          <w:tcPr>
            <w:tcW w:type="dxa" w:w="351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Products</w:t>
            </w:r>
          </w:p>
        </w:tc>
        <w:tc>
          <w:tcPr>
            <w:tcW w:type="dxa" w:w="351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Retention Offer</w:t>
            </w:r>
          </w:p>
        </w:tc>
      </w:tr>
      <w:tr>
        <w:tc>
          <w:tcPr>
            <w:tcW w:type="dxa" w:w="234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Champions (High RFM)</w:t>
            </w:r>
          </w:p>
        </w:tc>
        <w:tc>
          <w:tcPr>
            <w:tcW w:type="dxa" w:w="351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Premium Credit Card, Wealth Management</w:t>
            </w:r>
          </w:p>
        </w:tc>
        <w:tc>
          <w:tcPr>
            <w:tcW w:type="dxa" w:w="351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VIP banking privileges, higher FD rates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At-Risk (Declining)</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Personal Loan, FD with bonus rate</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 processing fee, cashback on next 5 transactions</w:t>
            </w:r>
          </w:p>
        </w:tc>
      </w:tr>
      <w:tr>
        <w:tc>
          <w:tcPr>
            <w:tcW w:type="dxa" w:w="234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Young Professionals</w:t>
            </w:r>
          </w:p>
        </w:tc>
        <w:tc>
          <w:tcPr>
            <w:tcW w:type="dxa" w:w="351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Digital Wallet, Education Loan</w:t>
            </w:r>
          </w:p>
        </w:tc>
        <w:tc>
          <w:tcPr>
            <w:tcW w:type="dxa" w:w="351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100% digital account opening, app-exclusive discounts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SME Business Owners</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Business Loan, Trade Finance</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Dedicated relationship manager, priority processing</w:t>
            </w:r>
          </w:p>
        </w:tc>
      </w:tr>
      <w:tr>
        <w:tc>
          <w:tcPr>
            <w:tcW w:type="dxa" w:w="234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Near-Retired Customers</w:t>
            </w:r>
          </w:p>
        </w:tc>
        <w:tc>
          <w:tcPr>
            <w:tcW w:type="dxa" w:w="351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Pension Plan, Senior Savings Scheme</w:t>
            </w:r>
          </w:p>
        </w:tc>
        <w:tc>
          <w:tcPr>
            <w:tcW w:type="dxa" w:w="351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Higher interest rates, free insurance bundled</w:t>
            </w:r>
          </w:p>
        </w:tc>
      </w:tr>
    </w:tbl>
    <w:p>
      <w:r>
        <w:t xml:space="preserve"> </w:t>
      </w:r>
    </w:p>
    <w:p>
      <w:pPr>
        <w:spacing w:after="60" w:before="160"/>
      </w:pPr>
      <w:r>
        <w:rPr>
          <w:rFonts w:ascii="Arial" w:cs="Arial" w:eastAsia="Arial" w:hAnsi="Arial"/>
          <w:b/>
          <w:bCs/>
          <w:color w:val="C00000"/>
          <w:sz w:val="24"/>
          <w:szCs w:val="24"/>
        </w:rPr>
        <w:t xml:space="preserve">Module 4: Omnichannel Delivery Engine</w:t>
      </w:r>
    </w:p>
    <w:p>
      <w:pPr>
        <w:pStyle w:val="ListParagraph"/>
        <w:numPr>
          <w:ilvl w:val="0"/>
          <w:numId w:val="2"/>
        </w:numPr>
        <w:spacing w:after="40" w:before="40"/>
      </w:pPr>
      <w:r>
        <w:rPr>
          <w:rFonts w:ascii="Arial" w:cs="Arial" w:eastAsia="Arial" w:hAnsi="Arial"/>
          <w:sz w:val="22"/>
          <w:szCs w:val="22"/>
        </w:rPr>
        <w:t xml:space="preserve">Mobile Banking App: personalized dashboard with 'Recommended for You' section</w:t>
      </w:r>
    </w:p>
    <w:p>
      <w:pPr>
        <w:pStyle w:val="ListParagraph"/>
        <w:numPr>
          <w:ilvl w:val="0"/>
          <w:numId w:val="2"/>
        </w:numPr>
        <w:spacing w:after="40" w:before="40"/>
      </w:pPr>
      <w:r>
        <w:rPr>
          <w:rFonts w:ascii="Arial" w:cs="Arial" w:eastAsia="Arial" w:hAnsi="Arial"/>
          <w:sz w:val="22"/>
          <w:szCs w:val="22"/>
        </w:rPr>
        <w:t xml:space="preserve">SMS/Viber: short targeted message with offer code for high-churn-risk customers</w:t>
      </w:r>
    </w:p>
    <w:p>
      <w:pPr>
        <w:pStyle w:val="ListParagraph"/>
        <w:numPr>
          <w:ilvl w:val="0"/>
          <w:numId w:val="2"/>
        </w:numPr>
        <w:spacing w:after="40" w:before="40"/>
      </w:pPr>
      <w:r>
        <w:rPr>
          <w:rFonts w:ascii="Arial" w:cs="Arial" w:eastAsia="Arial" w:hAnsi="Arial"/>
          <w:sz w:val="22"/>
          <w:szCs w:val="22"/>
        </w:rPr>
        <w:t xml:space="preserve">Email: detailed personalized financial health report + tailored offers</w:t>
      </w:r>
    </w:p>
    <w:p>
      <w:pPr>
        <w:pStyle w:val="ListParagraph"/>
        <w:numPr>
          <w:ilvl w:val="0"/>
          <w:numId w:val="2"/>
        </w:numPr>
        <w:spacing w:after="40" w:before="40"/>
      </w:pPr>
      <w:r>
        <w:rPr>
          <w:rFonts w:ascii="Arial" w:cs="Arial" w:eastAsia="Arial" w:hAnsi="Arial"/>
          <w:sz w:val="22"/>
          <w:szCs w:val="22"/>
        </w:rPr>
        <w:t xml:space="preserve">Relationship Manager Alert: automatic notification for high-value at-risk customers</w:t>
      </w:r>
    </w:p>
    <w:p>
      <w:r>
        <w:t xml:space="preserve"> </w:t>
      </w:r>
    </w:p>
    <w:p>
      <w:pPr>
        <w:pStyle w:val="Heading2"/>
        <w:spacing w:after="80" w:before="240"/>
      </w:pPr>
      <w:r>
        <w:rPr>
          <w:rFonts w:ascii="Arial" w:cs="Arial" w:eastAsia="Arial" w:hAnsi="Arial"/>
          <w:b/>
          <w:bCs/>
          <w:color w:val="2E75B6"/>
          <w:sz w:val="28"/>
          <w:szCs w:val="28"/>
        </w:rPr>
        <w:t xml:space="preserve">5. Methodology</w:t>
      </w:r>
    </w:p>
    <w:p>
      <w:pPr>
        <w:pStyle w:val="ListParagraph"/>
        <w:numPr>
          <w:ilvl w:val="0"/>
          <w:numId w:val="3"/>
        </w:numPr>
        <w:spacing w:after="40" w:before="40"/>
      </w:pPr>
      <w:r>
        <w:rPr>
          <w:rFonts w:ascii="Arial" w:cs="Arial" w:eastAsia="Arial" w:hAnsi="Arial"/>
          <w:sz w:val="22"/>
          <w:szCs w:val="22"/>
        </w:rPr>
        <w:t xml:space="preserve">Data Collection: Extract 24 months of transaction history, product holdings, login data, and complaint records</w:t>
      </w:r>
    </w:p>
    <w:p>
      <w:pPr>
        <w:pStyle w:val="ListParagraph"/>
        <w:numPr>
          <w:ilvl w:val="0"/>
          <w:numId w:val="3"/>
        </w:numPr>
        <w:spacing w:after="40" w:before="40"/>
      </w:pPr>
      <w:r>
        <w:rPr>
          <w:rFonts w:ascii="Arial" w:cs="Arial" w:eastAsia="Arial" w:hAnsi="Arial"/>
          <w:sz w:val="22"/>
          <w:szCs w:val="22"/>
        </w:rPr>
        <w:t xml:space="preserve">Customer Profiling: Calculate RFM scores; derive 40+ behavioral features per customer</w:t>
      </w:r>
    </w:p>
    <w:p>
      <w:pPr>
        <w:pStyle w:val="ListParagraph"/>
        <w:numPr>
          <w:ilvl w:val="0"/>
          <w:numId w:val="3"/>
        </w:numPr>
        <w:spacing w:after="40" w:before="40"/>
      </w:pPr>
      <w:r>
        <w:rPr>
          <w:rFonts w:ascii="Arial" w:cs="Arial" w:eastAsia="Arial" w:hAnsi="Arial"/>
          <w:sz w:val="22"/>
          <w:szCs w:val="22"/>
        </w:rPr>
        <w:t xml:space="preserve">Segmentation: Apply K-Means (k=5) clustering; validate with silhouette score</w:t>
      </w:r>
    </w:p>
    <w:p>
      <w:pPr>
        <w:pStyle w:val="ListParagraph"/>
        <w:numPr>
          <w:ilvl w:val="0"/>
          <w:numId w:val="3"/>
        </w:numPr>
        <w:spacing w:after="40" w:before="40"/>
      </w:pPr>
      <w:r>
        <w:rPr>
          <w:rFonts w:ascii="Arial" w:cs="Arial" w:eastAsia="Arial" w:hAnsi="Arial"/>
          <w:sz w:val="22"/>
          <w:szCs w:val="22"/>
        </w:rPr>
        <w:t xml:space="preserve">Churn Labeling: Label customers as churned if no transaction in 90 days</w:t>
      </w:r>
    </w:p>
    <w:p>
      <w:pPr>
        <w:pStyle w:val="ListParagraph"/>
        <w:numPr>
          <w:ilvl w:val="0"/>
          <w:numId w:val="3"/>
        </w:numPr>
        <w:spacing w:after="40" w:before="40"/>
      </w:pPr>
      <w:r>
        <w:rPr>
          <w:rFonts w:ascii="Arial" w:cs="Arial" w:eastAsia="Arial" w:hAnsi="Arial"/>
          <w:sz w:val="22"/>
          <w:szCs w:val="22"/>
        </w:rPr>
        <w:t xml:space="preserve">Model Training: Train XGBoost churn classifier; optimize threshold for recall</w:t>
      </w:r>
    </w:p>
    <w:p>
      <w:pPr>
        <w:pStyle w:val="ListParagraph"/>
        <w:numPr>
          <w:ilvl w:val="0"/>
          <w:numId w:val="3"/>
        </w:numPr>
        <w:spacing w:after="40" w:before="40"/>
      </w:pPr>
      <w:r>
        <w:rPr>
          <w:rFonts w:ascii="Arial" w:cs="Arial" w:eastAsia="Arial" w:hAnsi="Arial"/>
          <w:sz w:val="22"/>
          <w:szCs w:val="22"/>
        </w:rPr>
        <w:t xml:space="preserve">Recommendation Training: Build collaborative filtering matrix using product transaction history</w:t>
      </w:r>
    </w:p>
    <w:p>
      <w:pPr>
        <w:pStyle w:val="ListParagraph"/>
        <w:numPr>
          <w:ilvl w:val="0"/>
          <w:numId w:val="3"/>
        </w:numPr>
        <w:spacing w:after="40" w:before="40"/>
      </w:pPr>
      <w:r>
        <w:rPr>
          <w:rFonts w:ascii="Arial" w:cs="Arial" w:eastAsia="Arial" w:hAnsi="Arial"/>
          <w:sz w:val="22"/>
          <w:szCs w:val="22"/>
        </w:rPr>
        <w:t xml:space="preserve">A/B Testing: Test personalized vs. generic offers on 10% of customers to validate lift</w:t>
      </w:r>
    </w:p>
    <w:p>
      <w:pPr>
        <w:pStyle w:val="ListParagraph"/>
        <w:numPr>
          <w:ilvl w:val="0"/>
          <w:numId w:val="3"/>
        </w:numPr>
        <w:spacing w:after="40" w:before="40"/>
      </w:pPr>
      <w:r>
        <w:rPr>
          <w:rFonts w:ascii="Arial" w:cs="Arial" w:eastAsia="Arial" w:hAnsi="Arial"/>
          <w:sz w:val="22"/>
          <w:szCs w:val="22"/>
        </w:rPr>
        <w:t xml:space="preserve">Deployment: Integrate with GIBL's CRM and mobile banking backend via REST API</w:t>
      </w:r>
    </w:p>
    <w:p>
      <w:pPr>
        <w:pStyle w:val="ListParagraph"/>
        <w:numPr>
          <w:ilvl w:val="0"/>
          <w:numId w:val="3"/>
        </w:numPr>
        <w:spacing w:after="40" w:before="40"/>
      </w:pPr>
      <w:r>
        <w:rPr>
          <w:rFonts w:ascii="Arial" w:cs="Arial" w:eastAsia="Arial" w:hAnsi="Arial"/>
          <w:sz w:val="22"/>
          <w:szCs w:val="22"/>
        </w:rPr>
        <w:t xml:space="preserve">Feedback Loop: Track offer acceptance rates; retrain models monthly with new data</w:t>
      </w:r>
    </w:p>
    <w:p>
      <w:r>
        <w:t xml:space="preserve"> </w:t>
      </w:r>
    </w:p>
    <w:p>
      <w:pPr>
        <w:pStyle w:val="Heading2"/>
        <w:spacing w:after="80" w:before="240"/>
      </w:pPr>
      <w:r>
        <w:rPr>
          <w:rFonts w:ascii="Arial" w:cs="Arial" w:eastAsia="Arial" w:hAnsi="Arial"/>
          <w:b/>
          <w:bCs/>
          <w:color w:val="2E75B6"/>
          <w:sz w:val="28"/>
          <w:szCs w:val="28"/>
        </w:rPr>
        <w:t xml:space="preserve">6.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Churn Prediction Accuracy</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&gt; 88% (AUC-ROC &gt; 0.91)</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Churn Rate Reduction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25–35% reduction within 12 months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Offer Conversion Rate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3x improvement over generic campaigns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Customer Lifetime Value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15–20% increase in high-value segment</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Revenue Impact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Estimated NPR 50M+ additional annual revenue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NPS Score Improvement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+12 points in customer satisfaction</w:t>
            </w:r>
          </w:p>
        </w:tc>
      </w:tr>
    </w:tbl>
    <w:p>
      <w:r>
        <w:t xml:space="preserve"> </w:t>
      </w:r>
    </w:p>
    <w:p>
      <w:pPr>
        <w:pStyle w:val="Heading2"/>
        <w:spacing w:after="80" w:before="240"/>
      </w:pPr>
      <w:r>
        <w:rPr>
          <w:rFonts w:ascii="Arial" w:cs="Arial" w:eastAsia="Arial" w:hAnsi="Arial"/>
          <w:b/>
          <w:bCs/>
          <w:color w:val="2E75B6"/>
          <w:sz w:val="28"/>
          <w:szCs w:val="28"/>
        </w:rPr>
        <w:t xml:space="preserve">7. Conclusion</w:t>
      </w:r>
    </w:p>
    <w:p>
      <w:pPr>
        <w:spacing w:after="80" w:before="60"/>
        <w:jc w:val="both"/>
      </w:pPr>
      <w:r>
        <w:rPr>
          <w:rFonts w:ascii="Arial" w:cs="Arial" w:eastAsia="Arial" w:hAnsi="Arial"/>
          <w:sz w:val="22"/>
          <w:szCs w:val="22"/>
        </w:rPr>
        <w:t xml:space="preserve">The proposed AI-driven Personalized Financial Management system transforms Global IME Bank's approach to customer engagement from reactive and generic to proactive and personalized. By understanding each customer's unique financial journey and predicting their needs before they arise, the bank can deliver meaningful value at the right moment — strengthening loyalty, reducing churn, and growing revenue. In Nepal's increasingly competitive banking landscape, this system provides a sustainable competitive advantage through data-driven customer intelligence.</w:t>
      </w:r>
    </w:p>
    <w:p>
      <w:r>
        <w:t xml:space="preserve"> </w:t>
      </w:r>
    </w:p>
    <w:p>
      <w:r>
        <w:br w:type="page"/>
      </w:r>
    </w:p>
    <w:p>
      <w:pPr>
        <w:spacing w:after="60" w:before="0"/>
        <w:jc w:val="center"/>
      </w:pPr>
      <w:r>
        <w:rPr>
          <w:rFonts w:ascii="Arial" w:cs="Arial" w:eastAsia="Arial" w:hAnsi="Arial"/>
          <w:b/>
          <w:bCs/>
          <w:color w:val="2E75B6"/>
          <w:sz w:val="20"/>
          <w:szCs w:val="20"/>
        </w:rPr>
        <w:t xml:space="preserve">CONCEPT PAPER — CHALLENGE 4</w:t>
      </w:r>
    </w:p>
    <w:p>
      <w:pPr>
        <w:pStyle w:val="Heading1"/>
        <w:pBdr>
          <w:bottom w:val="single" w:color="2E75B6" w:sz="8" w:space="4"/>
        </w:pBdr>
        <w:spacing w:after="120" w:before="360"/>
      </w:pPr>
      <w:r>
        <w:rPr>
          <w:rFonts w:ascii="Arial" w:cs="Arial" w:eastAsia="Arial" w:hAnsi="Arial"/>
          <w:b/>
          <w:bCs/>
          <w:color w:val="1F4E79"/>
          <w:sz w:val="36"/>
          <w:szCs w:val="36"/>
        </w:rPr>
        <w:t xml:space="preserve">Predictive Analysis for Branch Revenue Forecasting Using AI</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Participant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[Your Full Name]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Institution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[Your College / University]</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Challenge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Challenge 4: Predictive Analysis for Branch Revenue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Submission Date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April 4, 2025</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Contact Email</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[your.email@example.com]</w:t>
            </w:r>
          </w:p>
        </w:tc>
      </w:tr>
    </w:tbl>
    <w:p>
      <w:r>
        <w:t xml:space="preserve"> </w:t>
      </w:r>
    </w:p>
    <w:p>
      <w:pPr>
        <w:pStyle w:val="Heading2"/>
        <w:spacing w:after="80" w:before="240"/>
      </w:pPr>
      <w:r>
        <w:rPr>
          <w:rFonts w:ascii="Arial" w:cs="Arial" w:eastAsia="Arial" w:hAnsi="Arial"/>
          <w:b/>
          <w:bCs/>
          <w:color w:val="2E75B6"/>
          <w:sz w:val="28"/>
          <w:szCs w:val="28"/>
        </w:rPr>
        <w:t xml:space="preserve">1.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Summary</w:t>
            </w:r>
          </w:p>
        </w:tc>
      </w:tr>
      <w:tr>
        <w:tc>
          <w:tcPr>
            <w:tcW w:type="dxa" w:w="9360"/>
            <w:tcBorders>
              <w:top w:val="single" w:color="AAAAAA" w:sz="1"/>
              <w:left w:val="single" w:color="AAAAAA" w:sz="1"/>
              <w:bottom w:val="single" w:color="AAAAAA" w:sz="1"/>
              <w:right w:val="single" w:color="AAAAAA" w:sz="1"/>
            </w:tcBorders>
            <w:shd w:fill="F9FBFD" w:val="clear"/>
            <w:tcMar>
              <w:top w:type="dxa" w:w="100"/>
              <w:left w:type="dxa" w:w="160"/>
              <w:bottom w:type="dxa" w:w="100"/>
              <w:right w:type="dxa" w:w="160"/>
            </w:tcMar>
          </w:tcPr>
          <w:p>
            <w:pPr>
              <w:spacing w:after="60" w:before="60"/>
              <w:jc w:val="both"/>
            </w:pPr>
            <w:r>
              <w:rPr>
                <w:rFonts w:ascii="Arial" w:cs="Arial" w:eastAsia="Arial" w:hAnsi="Arial"/>
                <w:sz w:val="22"/>
                <w:szCs w:val="22"/>
              </w:rPr>
              <w:t xml:space="preserve">Accurate revenue forecasting is a cornerstone of strategic bank management, enabling branch-level resource allocation, target setting, staffing decisions, and investment planning. Yet most banks in Nepal, including Global IME Bank, still rely on historical averages and manual judgment for branch revenue projections — an approach that fails to account for seasonal fluctuations, local economic conditions, and emerging market trends. This paper proposes an AI-powered Branch Revenue Prediction System that uses machine learning time-series forecasting to predict monthly revenue for each of Global IME Bank's branches up to 6 months in advance. Our solution leverages Facebook Prophet with custom Nepali festival seasonality components, supplemented by XGBoost for multi-factor regression, and ensemble averaging for improved forecast stability. The system is expected to achieve a Mean Absolute Percentage Error (MAPE) of under 8% — a significant improvement over the current baseline of 18–22% from manual estimates.</w:t>
            </w:r>
          </w:p>
        </w:tc>
      </w:tr>
    </w:tbl>
    <w:p>
      <w:r>
        <w:t xml:space="preserve"> </w:t>
      </w:r>
    </w:p>
    <w:p>
      <w:pPr>
        <w:pStyle w:val="Heading2"/>
        <w:spacing w:after="80" w:before="240"/>
      </w:pPr>
      <w:r>
        <w:rPr>
          <w:rFonts w:ascii="Arial" w:cs="Arial" w:eastAsia="Arial" w:hAnsi="Arial"/>
          <w:b/>
          <w:bCs/>
          <w:color w:val="2E75B6"/>
          <w:sz w:val="28"/>
          <w:szCs w:val="28"/>
        </w:rPr>
        <w:t xml:space="preserve">2. Problem Statement</w:t>
      </w:r>
    </w:p>
    <w:p>
      <w:pPr>
        <w:spacing w:after="80" w:before="60"/>
        <w:jc w:val="both"/>
      </w:pPr>
      <w:r>
        <w:rPr>
          <w:rFonts w:ascii="Arial" w:cs="Arial" w:eastAsia="Arial" w:hAnsi="Arial"/>
          <w:sz w:val="22"/>
          <w:szCs w:val="22"/>
        </w:rPr>
        <w:t xml:space="preserve">Global IME Bank operates an extensive branch network across Nepal, from Kathmandu Valley to remote districts of Province No. 1, Madhesh, and Karnali. Each branch operates in a unique micro-economic environment with distinct seasonal patterns, customer demographics, and competitive dynamics. Despite this complexity, branch revenue targets are often set using simple year-on-year growth percentages — a method that consistently under- or over-estimates actual performance.</w:t>
      </w:r>
    </w:p>
    <w:p>
      <w:pPr>
        <w:spacing w:after="80" w:before="60"/>
        <w:jc w:val="both"/>
      </w:pPr>
      <w:r>
        <w:rPr>
          <w:rFonts w:ascii="Arial" w:cs="Arial" w:eastAsia="Arial" w:hAnsi="Arial"/>
          <w:sz w:val="22"/>
          <w:szCs w:val="22"/>
        </w:rPr>
        <w:t xml:space="preserve">Inaccurate forecasts create compounding problems: over-optimistic targets demoralize branch staff when missed, while conservative targets leave growth opportunities unrealized. Poor forecasts also lead to suboptimal resource allocation — branches may be understaffed during high-demand periods (festival seasons, fiscal year-end) and overstaffed during low-demand periods, directly impacting operational efficiency and profitability.</w:t>
      </w:r>
    </w:p>
    <w:p>
      <w:pPr>
        <w:spacing w:after="80" w:before="60"/>
        <w:jc w:val="both"/>
      </w:pPr>
      <w:r>
        <w:rPr>
          <w:rFonts w:ascii="Arial" w:cs="Arial" w:eastAsia="Arial" w:hAnsi="Arial"/>
          <w:sz w:val="22"/>
          <w:szCs w:val="22"/>
        </w:rPr>
        <w:t xml:space="preserve">Nepal's banking revenue is also highly sensitive to unique local factors: remittance inflows (a major GDP contributor), agricultural cycles (revenue peaks at harvest seasons), festival spending (Dashain, Tihar, Teej, New Year), and NRB policy changes — none of which are captured by simplistic forecasting methods.</w:t>
      </w:r>
    </w:p>
    <w:p>
      <w:r>
        <w:t xml:space="preserve"> </w:t>
      </w:r>
    </w:p>
    <w:p>
      <w:pPr>
        <w:pStyle w:val="Heading2"/>
        <w:spacing w:after="80" w:before="240"/>
      </w:pPr>
      <w:r>
        <w:rPr>
          <w:rFonts w:ascii="Arial" w:cs="Arial" w:eastAsia="Arial" w:hAnsi="Arial"/>
          <w:b/>
          <w:bCs/>
          <w:color w:val="2E75B6"/>
          <w:sz w:val="28"/>
          <w:szCs w:val="28"/>
        </w:rPr>
        <w:t xml:space="preserve">3. Objectives</w:t>
      </w:r>
    </w:p>
    <w:p>
      <w:pPr>
        <w:pStyle w:val="ListParagraph"/>
        <w:numPr>
          <w:ilvl w:val="0"/>
          <w:numId w:val="2"/>
        </w:numPr>
        <w:spacing w:after="40" w:before="40"/>
      </w:pPr>
      <w:r>
        <w:rPr>
          <w:rFonts w:ascii="Arial" w:cs="Arial" w:eastAsia="Arial" w:hAnsi="Arial"/>
          <w:sz w:val="22"/>
          <w:szCs w:val="22"/>
        </w:rPr>
        <w:t xml:space="preserve">Forecast monthly branch-level revenue for each GIBL branch up to 6 months ahead</w:t>
      </w:r>
    </w:p>
    <w:p>
      <w:pPr>
        <w:pStyle w:val="ListParagraph"/>
        <w:numPr>
          <w:ilvl w:val="0"/>
          <w:numId w:val="2"/>
        </w:numPr>
        <w:spacing w:after="40" w:before="40"/>
      </w:pPr>
      <w:r>
        <w:rPr>
          <w:rFonts w:ascii="Arial" w:cs="Arial" w:eastAsia="Arial" w:hAnsi="Arial"/>
          <w:sz w:val="22"/>
          <w:szCs w:val="22"/>
        </w:rPr>
        <w:t xml:space="preserve">Achieve MAPE &lt; 8% on validation data (vs. 18–22% from current manual estimates)</w:t>
      </w:r>
    </w:p>
    <w:p>
      <w:pPr>
        <w:pStyle w:val="ListParagraph"/>
        <w:numPr>
          <w:ilvl w:val="0"/>
          <w:numId w:val="2"/>
        </w:numPr>
        <w:spacing w:after="40" w:before="40"/>
      </w:pPr>
      <w:r>
        <w:rPr>
          <w:rFonts w:ascii="Arial" w:cs="Arial" w:eastAsia="Arial" w:hAnsi="Arial"/>
          <w:sz w:val="22"/>
          <w:szCs w:val="22"/>
        </w:rPr>
        <w:t xml:space="preserve">Capture Nepal-specific seasonal patterns: Dashain, Tihar, fiscal year-end, remittance cycles</w:t>
      </w:r>
    </w:p>
    <w:p>
      <w:pPr>
        <w:pStyle w:val="ListParagraph"/>
        <w:numPr>
          <w:ilvl w:val="0"/>
          <w:numId w:val="2"/>
        </w:numPr>
        <w:spacing w:after="40" w:before="40"/>
      </w:pPr>
      <w:r>
        <w:rPr>
          <w:rFonts w:ascii="Arial" w:cs="Arial" w:eastAsia="Arial" w:hAnsi="Arial"/>
          <w:sz w:val="22"/>
          <w:szCs w:val="22"/>
        </w:rPr>
        <w:t xml:space="preserve">Provide branch managers with intuitive dashboards showing forecasts with confidence intervals</w:t>
      </w:r>
    </w:p>
    <w:p>
      <w:pPr>
        <w:pStyle w:val="ListParagraph"/>
        <w:numPr>
          <w:ilvl w:val="0"/>
          <w:numId w:val="2"/>
        </w:numPr>
        <w:spacing w:after="40" w:before="40"/>
      </w:pPr>
      <w:r>
        <w:rPr>
          <w:rFonts w:ascii="Arial" w:cs="Arial" w:eastAsia="Arial" w:hAnsi="Arial"/>
          <w:sz w:val="22"/>
          <w:szCs w:val="22"/>
        </w:rPr>
        <w:t xml:space="preserve">Enable scenario analysis: 'What if remittance inflows drop 20%? How does that affect branch revenue?'</w:t>
      </w:r>
    </w:p>
    <w:p>
      <w:pPr>
        <w:pStyle w:val="ListParagraph"/>
        <w:numPr>
          <w:ilvl w:val="0"/>
          <w:numId w:val="2"/>
        </w:numPr>
        <w:spacing w:after="40" w:before="40"/>
      </w:pPr>
      <w:r>
        <w:rPr>
          <w:rFonts w:ascii="Arial" w:cs="Arial" w:eastAsia="Arial" w:hAnsi="Arial"/>
          <w:sz w:val="22"/>
          <w:szCs w:val="22"/>
        </w:rPr>
        <w:t xml:space="preserve">Reduce forecast preparation time from 2–3 weeks (manual) to automated daily refresh</w:t>
      </w:r>
    </w:p>
    <w:p>
      <w:r>
        <w:t xml:space="preserve"> </w:t>
      </w:r>
    </w:p>
    <w:p>
      <w:pPr>
        <w:pStyle w:val="Heading2"/>
        <w:spacing w:after="80" w:before="240"/>
      </w:pPr>
      <w:r>
        <w:rPr>
          <w:rFonts w:ascii="Arial" w:cs="Arial" w:eastAsia="Arial" w:hAnsi="Arial"/>
          <w:b/>
          <w:bCs/>
          <w:color w:val="2E75B6"/>
          <w:sz w:val="28"/>
          <w:szCs w:val="28"/>
        </w:rPr>
        <w:t xml:space="preserve">4. Revenue Components Modeled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Fee-Based Revenue</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Interest Revenue</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Other Revenue</w:t>
            </w:r>
          </w:p>
        </w:tc>
      </w:tr>
      <w:tr>
        <w:tc>
          <w:tcPr>
            <w:tcW w:type="dxa" w:w="312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after="20" w:before="20"/>
            </w:pPr>
            <w:r>
              <w:rPr>
                <w:rFonts w:ascii="Arial" w:cs="Arial" w:eastAsia="Arial" w:hAnsi="Arial"/>
                <w:sz w:val="20"/>
                <w:szCs w:val="20"/>
              </w:rPr>
              <w:t xml:space="preserve">• Remittance fees</w:t>
            </w:r>
          </w:p>
          <w:p>
            <w:pPr>
              <w:spacing w:after="20" w:before="20"/>
            </w:pPr>
            <w:r>
              <w:rPr>
                <w:rFonts w:ascii="Arial" w:cs="Arial" w:eastAsia="Arial" w:hAnsi="Arial"/>
                <w:sz w:val="20"/>
                <w:szCs w:val="20"/>
              </w:rPr>
              <w:t xml:space="preserve">• Wire transfer fees</w:t>
            </w:r>
          </w:p>
          <w:p>
            <w:pPr>
              <w:spacing w:after="20" w:before="20"/>
            </w:pPr>
            <w:r>
              <w:rPr>
                <w:rFonts w:ascii="Arial" w:cs="Arial" w:eastAsia="Arial" w:hAnsi="Arial"/>
                <w:sz w:val="20"/>
                <w:szCs w:val="20"/>
              </w:rPr>
              <w:t xml:space="preserve">• ATM fees</w:t>
            </w:r>
          </w:p>
          <w:p>
            <w:pPr>
              <w:spacing w:after="20" w:before="20"/>
            </w:pPr>
            <w:r>
              <w:rPr>
                <w:rFonts w:ascii="Arial" w:cs="Arial" w:eastAsia="Arial" w:hAnsi="Arial"/>
                <w:sz w:val="20"/>
                <w:szCs w:val="20"/>
              </w:rPr>
              <w:t xml:space="preserve">• Account maintenance</w:t>
            </w:r>
          </w:p>
          <w:p>
            <w:pPr>
              <w:spacing w:after="20" w:before="20"/>
            </w:pPr>
            <w:r>
              <w:rPr>
                <w:rFonts w:ascii="Arial" w:cs="Arial" w:eastAsia="Arial" w:hAnsi="Arial"/>
                <w:sz w:val="20"/>
                <w:szCs w:val="20"/>
              </w:rPr>
              <w:t xml:space="preserve">• LC charges</w:t>
            </w:r>
          </w:p>
        </w:tc>
        <w:tc>
          <w:tcPr>
            <w:tcW w:type="dxa" w:w="312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after="20" w:before="20"/>
            </w:pPr>
            <w:r>
              <w:rPr>
                <w:rFonts w:ascii="Arial" w:cs="Arial" w:eastAsia="Arial" w:hAnsi="Arial"/>
                <w:sz w:val="20"/>
                <w:szCs w:val="20"/>
              </w:rPr>
              <w:t xml:space="preserve">• Loan interest income</w:t>
            </w:r>
          </w:p>
          <w:p>
            <w:pPr>
              <w:spacing w:after="20" w:before="20"/>
            </w:pPr>
            <w:r>
              <w:rPr>
                <w:rFonts w:ascii="Arial" w:cs="Arial" w:eastAsia="Arial" w:hAnsi="Arial"/>
                <w:sz w:val="20"/>
                <w:szCs w:val="20"/>
              </w:rPr>
              <w:t xml:space="preserve">• Overdraft interest</w:t>
            </w:r>
          </w:p>
          <w:p>
            <w:pPr>
              <w:spacing w:after="20" w:before="20"/>
            </w:pPr>
            <w:r>
              <w:rPr>
                <w:rFonts w:ascii="Arial" w:cs="Arial" w:eastAsia="Arial" w:hAnsi="Arial"/>
                <w:sz w:val="20"/>
                <w:szCs w:val="20"/>
              </w:rPr>
              <w:t xml:space="preserve">• Credit card interest</w:t>
            </w:r>
          </w:p>
          <w:p>
            <w:pPr>
              <w:spacing w:after="20" w:before="20"/>
            </w:pPr>
            <w:r>
              <w:rPr>
                <w:rFonts w:ascii="Arial" w:cs="Arial" w:eastAsia="Arial" w:hAnsi="Arial"/>
                <w:sz w:val="20"/>
                <w:szCs w:val="20"/>
              </w:rPr>
              <w:t xml:space="preserve">• Investment income</w:t>
            </w:r>
          </w:p>
        </w:tc>
        <w:tc>
          <w:tcPr>
            <w:tcW w:type="dxa" w:w="312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after="20" w:before="20"/>
            </w:pPr>
            <w:r>
              <w:rPr>
                <w:rFonts w:ascii="Arial" w:cs="Arial" w:eastAsia="Arial" w:hAnsi="Arial"/>
                <w:sz w:val="20"/>
                <w:szCs w:val="20"/>
              </w:rPr>
              <w:t xml:space="preserve">• Foreign exchange gains</w:t>
            </w:r>
          </w:p>
          <w:p>
            <w:pPr>
              <w:spacing w:after="20" w:before="20"/>
            </w:pPr>
            <w:r>
              <w:rPr>
                <w:rFonts w:ascii="Arial" w:cs="Arial" w:eastAsia="Arial" w:hAnsi="Arial"/>
                <w:sz w:val="20"/>
                <w:szCs w:val="20"/>
              </w:rPr>
              <w:t xml:space="preserve">• Insurance commission</w:t>
            </w:r>
          </w:p>
          <w:p>
            <w:pPr>
              <w:spacing w:after="20" w:before="20"/>
            </w:pPr>
            <w:r>
              <w:rPr>
                <w:rFonts w:ascii="Arial" w:cs="Arial" w:eastAsia="Arial" w:hAnsi="Arial"/>
                <w:sz w:val="20"/>
                <w:szCs w:val="20"/>
              </w:rPr>
              <w:t xml:space="preserve">• Locker charges</w:t>
            </w:r>
          </w:p>
          <w:p>
            <w:pPr>
              <w:spacing w:after="20" w:before="20"/>
            </w:pPr>
            <w:r>
              <w:rPr>
                <w:rFonts w:ascii="Arial" w:cs="Arial" w:eastAsia="Arial" w:hAnsi="Arial"/>
                <w:sz w:val="20"/>
                <w:szCs w:val="20"/>
              </w:rPr>
              <w:t xml:space="preserve">• Government payments</w:t>
            </w:r>
          </w:p>
        </w:tc>
      </w:tr>
    </w:tbl>
    <w:p>
      <w:r>
        <w:t xml:space="preserve"> </w:t>
      </w:r>
    </w:p>
    <w:p>
      <w:pPr>
        <w:pStyle w:val="Heading2"/>
        <w:spacing w:after="80" w:before="240"/>
      </w:pPr>
      <w:r>
        <w:rPr>
          <w:rFonts w:ascii="Arial" w:cs="Arial" w:eastAsia="Arial" w:hAnsi="Arial"/>
          <w:b/>
          <w:bCs/>
          <w:color w:val="2E75B6"/>
          <w:sz w:val="28"/>
          <w:szCs w:val="28"/>
        </w:rPr>
        <w:t xml:space="preserve">5. Proposed Solution</w:t>
      </w:r>
    </w:p>
    <w:p>
      <w:pPr>
        <w:spacing w:after="60" w:before="160"/>
      </w:pPr>
      <w:r>
        <w:rPr>
          <w:rFonts w:ascii="Arial" w:cs="Arial" w:eastAsia="Arial" w:hAnsi="Arial"/>
          <w:b/>
          <w:bCs/>
          <w:color w:val="C00000"/>
          <w:sz w:val="24"/>
          <w:szCs w:val="24"/>
        </w:rPr>
        <w:t xml:space="preserve">Model 1: Facebook Prophet (Primary Forecaster)</w:t>
      </w:r>
    </w:p>
    <w:p>
      <w:pPr>
        <w:spacing w:after="80" w:before="60"/>
        <w:jc w:val="both"/>
      </w:pPr>
      <w:r>
        <w:rPr>
          <w:rFonts w:ascii="Arial" w:cs="Arial" w:eastAsia="Arial" w:hAnsi="Arial"/>
          <w:sz w:val="22"/>
          <w:szCs w:val="22"/>
        </w:rPr>
        <w:t xml:space="preserve">Prophet is designed for business time-series data with strong seasonality. We extend it with Nepal-specific components:</w:t>
      </w:r>
    </w:p>
    <w:p>
      <w:pPr>
        <w:pStyle w:val="ListParagraph"/>
        <w:numPr>
          <w:ilvl w:val="0"/>
          <w:numId w:val="2"/>
        </w:numPr>
        <w:spacing w:after="40" w:before="40"/>
      </w:pPr>
      <w:r>
        <w:rPr>
          <w:rFonts w:ascii="Arial" w:cs="Arial" w:eastAsia="Arial" w:hAnsi="Arial"/>
          <w:sz w:val="22"/>
          <w:szCs w:val="22"/>
        </w:rPr>
        <w:t xml:space="preserve">Yearly seasonality: automatic detection from 3+ years of monthly data</w:t>
      </w:r>
    </w:p>
    <w:p>
      <w:pPr>
        <w:pStyle w:val="ListParagraph"/>
        <w:numPr>
          <w:ilvl w:val="0"/>
          <w:numId w:val="2"/>
        </w:numPr>
        <w:spacing w:after="40" w:before="40"/>
      </w:pPr>
      <w:r>
        <w:rPr>
          <w:rFonts w:ascii="Arial" w:cs="Arial" w:eastAsia="Arial" w:hAnsi="Arial"/>
          <w:sz w:val="22"/>
          <w:szCs w:val="22"/>
        </w:rPr>
        <w:t xml:space="preserve">Custom Nepali seasonality: Dashain (Oct), Tihar (Nov), Teej (Aug/Sep), Nepali New Year (Apr), fiscal year-end (Jul)</w:t>
      </w:r>
    </w:p>
    <w:p>
      <w:pPr>
        <w:pStyle w:val="ListParagraph"/>
        <w:numPr>
          <w:ilvl w:val="0"/>
          <w:numId w:val="2"/>
        </w:numPr>
        <w:spacing w:after="40" w:before="40"/>
      </w:pPr>
      <w:r>
        <w:rPr>
          <w:rFonts w:ascii="Arial" w:cs="Arial" w:eastAsia="Arial" w:hAnsi="Arial"/>
          <w:sz w:val="22"/>
          <w:szCs w:val="22"/>
        </w:rPr>
        <w:t xml:space="preserve">Remittance seasonality: spikes during Dashain/Tihar when overseas Nepalis send money home</w:t>
      </w:r>
    </w:p>
    <w:p>
      <w:pPr>
        <w:pStyle w:val="ListParagraph"/>
        <w:numPr>
          <w:ilvl w:val="0"/>
          <w:numId w:val="2"/>
        </w:numPr>
        <w:spacing w:after="40" w:before="40"/>
      </w:pPr>
      <w:r>
        <w:rPr>
          <w:rFonts w:ascii="Arial" w:cs="Arial" w:eastAsia="Arial" w:hAnsi="Arial"/>
          <w:sz w:val="22"/>
          <w:szCs w:val="22"/>
        </w:rPr>
        <w:t xml:space="preserve">Holiday effects: NRB holidays, bandas (shutdowns), and strike impacts modeled as regressors</w:t>
      </w:r>
    </w:p>
    <w:p>
      <w:pPr>
        <w:pStyle w:val="ListParagraph"/>
        <w:numPr>
          <w:ilvl w:val="0"/>
          <w:numId w:val="2"/>
        </w:numPr>
        <w:spacing w:after="40" w:before="40"/>
      </w:pPr>
      <w:r>
        <w:rPr>
          <w:rFonts w:ascii="Arial" w:cs="Arial" w:eastAsia="Arial" w:hAnsi="Arial"/>
          <w:sz w:val="22"/>
          <w:szCs w:val="22"/>
        </w:rPr>
        <w:t xml:space="preserve">Changepoint detection: automatically identifies structural shifts (new branch, new ATM, new highway)</w:t>
      </w:r>
    </w:p>
    <w:p>
      <w:r>
        <w:t xml:space="preserve"> </w:t>
      </w:r>
    </w:p>
    <w:p>
      <w:pPr>
        <w:spacing w:after="60" w:before="160"/>
      </w:pPr>
      <w:r>
        <w:rPr>
          <w:rFonts w:ascii="Arial" w:cs="Arial" w:eastAsia="Arial" w:hAnsi="Arial"/>
          <w:b/>
          <w:bCs/>
          <w:color w:val="C00000"/>
          <w:sz w:val="24"/>
          <w:szCs w:val="24"/>
        </w:rPr>
        <w:t xml:space="preserve">Model 2: XGBoost Regression (Feature-Rich Predictor)</w:t>
      </w:r>
    </w:p>
    <w:p>
      <w:pPr>
        <w:spacing w:after="80" w:before="60"/>
        <w:jc w:val="both"/>
      </w:pPr>
      <w:r>
        <w:rPr>
          <w:rFonts w:ascii="Arial" w:cs="Arial" w:eastAsia="Arial" w:hAnsi="Arial"/>
          <w:sz w:val="22"/>
          <w:szCs w:val="22"/>
        </w:rPr>
        <w:t xml:space="preserve">While Prophet handles time patterns, XGBoost incorporates external factors:</w:t>
      </w:r>
    </w:p>
    <w:p>
      <w:pPr>
        <w:pStyle w:val="ListParagraph"/>
        <w:numPr>
          <w:ilvl w:val="0"/>
          <w:numId w:val="2"/>
        </w:numPr>
        <w:spacing w:after="40" w:before="40"/>
      </w:pPr>
      <w:r>
        <w:rPr>
          <w:rFonts w:ascii="Arial" w:cs="Arial" w:eastAsia="Arial" w:hAnsi="Arial"/>
          <w:sz w:val="22"/>
          <w:szCs w:val="22"/>
        </w:rPr>
        <w:t xml:space="preserve">Branch-specific features: branch age, floor area, staff count, ATM count, nearest competitor distance</w:t>
      </w:r>
    </w:p>
    <w:p>
      <w:pPr>
        <w:pStyle w:val="ListParagraph"/>
        <w:numPr>
          <w:ilvl w:val="0"/>
          <w:numId w:val="2"/>
        </w:numPr>
        <w:spacing w:after="40" w:before="40"/>
      </w:pPr>
      <w:r>
        <w:rPr>
          <w:rFonts w:ascii="Arial" w:cs="Arial" w:eastAsia="Arial" w:hAnsi="Arial"/>
          <w:sz w:val="22"/>
          <w:szCs w:val="22"/>
        </w:rPr>
        <w:t xml:space="preserve">Macro-economic features: Nepal CPI, remittance inflow (from NRB data), interest rate changes</w:t>
      </w:r>
    </w:p>
    <w:p>
      <w:pPr>
        <w:pStyle w:val="ListParagraph"/>
        <w:numPr>
          <w:ilvl w:val="0"/>
          <w:numId w:val="2"/>
        </w:numPr>
        <w:spacing w:after="40" w:before="40"/>
      </w:pPr>
      <w:r>
        <w:rPr>
          <w:rFonts w:ascii="Arial" w:cs="Arial" w:eastAsia="Arial" w:hAnsi="Arial"/>
          <w:sz w:val="22"/>
          <w:szCs w:val="22"/>
        </w:rPr>
        <w:t xml:space="preserve">Transaction features: monthly transaction count, new account openings, loan disbursements</w:t>
      </w:r>
    </w:p>
    <w:p>
      <w:pPr>
        <w:pStyle w:val="ListParagraph"/>
        <w:numPr>
          <w:ilvl w:val="0"/>
          <w:numId w:val="2"/>
        </w:numPr>
        <w:spacing w:after="40" w:before="40"/>
      </w:pPr>
      <w:r>
        <w:rPr>
          <w:rFonts w:ascii="Arial" w:cs="Arial" w:eastAsia="Arial" w:hAnsi="Arial"/>
          <w:sz w:val="22"/>
          <w:szCs w:val="22"/>
        </w:rPr>
        <w:t xml:space="preserve">Geographic features: district GDP proxy, urban/rural classification, local industry type</w:t>
      </w:r>
    </w:p>
    <w:p>
      <w:r>
        <w:t xml:space="preserve"> </w:t>
      </w:r>
    </w:p>
    <w:p>
      <w:pPr>
        <w:spacing w:after="60" w:before="160"/>
      </w:pPr>
      <w:r>
        <w:rPr>
          <w:rFonts w:ascii="Arial" w:cs="Arial" w:eastAsia="Arial" w:hAnsi="Arial"/>
          <w:b/>
          <w:bCs/>
          <w:color w:val="C00000"/>
          <w:sz w:val="24"/>
          <w:szCs w:val="24"/>
        </w:rPr>
        <w:t xml:space="preserve">Model 3: Ensemble Averaging</w:t>
      </w:r>
    </w:p>
    <w:p>
      <w:pPr>
        <w:pStyle w:val="ListParagraph"/>
        <w:numPr>
          <w:ilvl w:val="0"/>
          <w:numId w:val="2"/>
        </w:numPr>
        <w:spacing w:after="40" w:before="40"/>
      </w:pPr>
      <w:r>
        <w:rPr>
          <w:rFonts w:ascii="Arial" w:cs="Arial" w:eastAsia="Arial" w:hAnsi="Arial"/>
          <w:sz w:val="22"/>
          <w:szCs w:val="22"/>
        </w:rPr>
        <w:t xml:space="preserve">Final forecast = 60% Prophet prediction + 40% XGBoost prediction</w:t>
      </w:r>
    </w:p>
    <w:p>
      <w:pPr>
        <w:pStyle w:val="ListParagraph"/>
        <w:numPr>
          <w:ilvl w:val="0"/>
          <w:numId w:val="2"/>
        </w:numPr>
        <w:spacing w:after="40" w:before="40"/>
      </w:pPr>
      <w:r>
        <w:rPr>
          <w:rFonts w:ascii="Arial" w:cs="Arial" w:eastAsia="Arial" w:hAnsi="Arial"/>
          <w:sz w:val="22"/>
          <w:szCs w:val="22"/>
        </w:rPr>
        <w:t xml:space="preserve">Weights determined by cross-validation performance on 12-month holdout</w:t>
      </w:r>
    </w:p>
    <w:p>
      <w:pPr>
        <w:pStyle w:val="ListParagraph"/>
        <w:numPr>
          <w:ilvl w:val="0"/>
          <w:numId w:val="2"/>
        </w:numPr>
        <w:spacing w:after="40" w:before="40"/>
      </w:pPr>
      <w:r>
        <w:rPr>
          <w:rFonts w:ascii="Arial" w:cs="Arial" w:eastAsia="Arial" w:hAnsi="Arial"/>
          <w:sz w:val="22"/>
          <w:szCs w:val="22"/>
        </w:rPr>
        <w:t xml:space="preserve">Confidence intervals: 80% and 95% prediction intervals for risk planning</w:t>
      </w:r>
    </w:p>
    <w:p>
      <w:r>
        <w:t xml:space="preserve"> </w:t>
      </w:r>
    </w:p>
    <w:p>
      <w:pPr>
        <w:pStyle w:val="Heading2"/>
        <w:spacing w:after="80" w:before="240"/>
      </w:pPr>
      <w:r>
        <w:rPr>
          <w:rFonts w:ascii="Arial" w:cs="Arial" w:eastAsia="Arial" w:hAnsi="Arial"/>
          <w:b/>
          <w:bCs/>
          <w:color w:val="2E75B6"/>
          <w:sz w:val="28"/>
          <w:szCs w:val="28"/>
        </w:rPr>
        <w:t xml:space="preserve">6. Methodology</w:t>
      </w:r>
    </w:p>
    <w:p>
      <w:pPr>
        <w:pStyle w:val="ListParagraph"/>
        <w:numPr>
          <w:ilvl w:val="0"/>
          <w:numId w:val="3"/>
        </w:numPr>
        <w:spacing w:after="40" w:before="40"/>
      </w:pPr>
      <w:r>
        <w:rPr>
          <w:rFonts w:ascii="Arial" w:cs="Arial" w:eastAsia="Arial" w:hAnsi="Arial"/>
          <w:sz w:val="22"/>
          <w:szCs w:val="22"/>
        </w:rPr>
        <w:t xml:space="preserve">Data Collection: Gather 5 years of monthly branch revenue data, transaction volumes, and macroeconomic indicators from NRB public reports</w:t>
      </w:r>
    </w:p>
    <w:p>
      <w:pPr>
        <w:pStyle w:val="ListParagraph"/>
        <w:numPr>
          <w:ilvl w:val="0"/>
          <w:numId w:val="3"/>
        </w:numPr>
        <w:spacing w:after="40" w:before="40"/>
      </w:pPr>
      <w:r>
        <w:rPr>
          <w:rFonts w:ascii="Arial" w:cs="Arial" w:eastAsia="Arial" w:hAnsi="Arial"/>
          <w:sz w:val="22"/>
          <w:szCs w:val="22"/>
        </w:rPr>
        <w:t xml:space="preserve">Data Cleaning: Handle missing months (COVID impact), outlier removal, branch mergers/closures</w:t>
      </w:r>
    </w:p>
    <w:p>
      <w:pPr>
        <w:pStyle w:val="ListParagraph"/>
        <w:numPr>
          <w:ilvl w:val="0"/>
          <w:numId w:val="3"/>
        </w:numPr>
        <w:spacing w:after="40" w:before="40"/>
      </w:pPr>
      <w:r>
        <w:rPr>
          <w:rFonts w:ascii="Arial" w:cs="Arial" w:eastAsia="Arial" w:hAnsi="Arial"/>
          <w:sz w:val="22"/>
          <w:szCs w:val="22"/>
        </w:rPr>
        <w:t xml:space="preserve">Feature Engineering: Create 25+ features including lag variables (revenue t-1, t-2, t-3), rolling averages, festival flags</w:t>
      </w:r>
    </w:p>
    <w:p>
      <w:pPr>
        <w:pStyle w:val="ListParagraph"/>
        <w:numPr>
          <w:ilvl w:val="0"/>
          <w:numId w:val="3"/>
        </w:numPr>
        <w:spacing w:after="40" w:before="40"/>
      </w:pPr>
      <w:r>
        <w:rPr>
          <w:rFonts w:ascii="Arial" w:cs="Arial" w:eastAsia="Arial" w:hAnsi="Arial"/>
          <w:sz w:val="22"/>
          <w:szCs w:val="22"/>
        </w:rPr>
        <w:t xml:space="preserve">Train-Test Split: Train on first 4 years; validate on last 12 months (walk-forward validation)</w:t>
      </w:r>
    </w:p>
    <w:p>
      <w:pPr>
        <w:pStyle w:val="ListParagraph"/>
        <w:numPr>
          <w:ilvl w:val="0"/>
          <w:numId w:val="3"/>
        </w:numPr>
        <w:spacing w:after="40" w:before="40"/>
      </w:pPr>
      <w:r>
        <w:rPr>
          <w:rFonts w:ascii="Arial" w:cs="Arial" w:eastAsia="Arial" w:hAnsi="Arial"/>
          <w:sz w:val="22"/>
          <w:szCs w:val="22"/>
        </w:rPr>
        <w:t xml:space="preserve">Prophet Training: Fit model per branch; tune changepoint_prior_scale and seasonality_prior_scale</w:t>
      </w:r>
    </w:p>
    <w:p>
      <w:pPr>
        <w:pStyle w:val="ListParagraph"/>
        <w:numPr>
          <w:ilvl w:val="0"/>
          <w:numId w:val="3"/>
        </w:numPr>
        <w:spacing w:after="40" w:before="40"/>
      </w:pPr>
      <w:r>
        <w:rPr>
          <w:rFonts w:ascii="Arial" w:cs="Arial" w:eastAsia="Arial" w:hAnsi="Arial"/>
          <w:sz w:val="22"/>
          <w:szCs w:val="22"/>
        </w:rPr>
        <w:t xml:space="preserve">XGBoost Training: Train with 5-fold cross-validation; optimize MAPE objective</w:t>
      </w:r>
    </w:p>
    <w:p>
      <w:pPr>
        <w:pStyle w:val="ListParagraph"/>
        <w:numPr>
          <w:ilvl w:val="0"/>
          <w:numId w:val="3"/>
        </w:numPr>
        <w:spacing w:after="40" w:before="40"/>
      </w:pPr>
      <w:r>
        <w:rPr>
          <w:rFonts w:ascii="Arial" w:cs="Arial" w:eastAsia="Arial" w:hAnsi="Arial"/>
          <w:sz w:val="22"/>
          <w:szCs w:val="22"/>
        </w:rPr>
        <w:t xml:space="preserve">Ensemble: Combine predictions; evaluate on validation set; select optimal weights</w:t>
      </w:r>
    </w:p>
    <w:p>
      <w:pPr>
        <w:pStyle w:val="ListParagraph"/>
        <w:numPr>
          <w:ilvl w:val="0"/>
          <w:numId w:val="3"/>
        </w:numPr>
        <w:spacing w:after="40" w:before="40"/>
      </w:pPr>
      <w:r>
        <w:rPr>
          <w:rFonts w:ascii="Arial" w:cs="Arial" w:eastAsia="Arial" w:hAnsi="Arial"/>
          <w:sz w:val="22"/>
          <w:szCs w:val="22"/>
        </w:rPr>
        <w:t xml:space="preserve">Dashboard: Build interactive forecast viewer using Streamlit or Power BI</w:t>
      </w:r>
    </w:p>
    <w:p>
      <w:pPr>
        <w:pStyle w:val="ListParagraph"/>
        <w:numPr>
          <w:ilvl w:val="0"/>
          <w:numId w:val="3"/>
        </w:numPr>
        <w:spacing w:after="40" w:before="40"/>
      </w:pPr>
      <w:r>
        <w:rPr>
          <w:rFonts w:ascii="Arial" w:cs="Arial" w:eastAsia="Arial" w:hAnsi="Arial"/>
          <w:sz w:val="22"/>
          <w:szCs w:val="22"/>
        </w:rPr>
        <w:t xml:space="preserve">Deployment: Schedule automated monthly retraining; serve forecasts via API to branch management system</w:t>
      </w:r>
    </w:p>
    <w:p>
      <w:r>
        <w:t xml:space="preserve"> </w:t>
      </w:r>
    </w:p>
    <w:p>
      <w:pPr>
        <w:pStyle w:val="Heading2"/>
        <w:spacing w:after="80" w:before="240"/>
      </w:pPr>
      <w:r>
        <w:rPr>
          <w:rFonts w:ascii="Arial" w:cs="Arial" w:eastAsia="Arial" w:hAnsi="Arial"/>
          <w:b/>
          <w:bCs/>
          <w:color w:val="2E75B6"/>
          <w:sz w:val="28"/>
          <w:szCs w:val="28"/>
        </w:rPr>
        <w:t xml:space="preserve">7. Nepal-Specific Seasonality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Month (Approx.)</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Nepali Event</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Revenue Impact</w:t>
            </w:r>
          </w:p>
        </w:tc>
        <w:tc>
          <w:tcPr>
            <w:tcW w:type="dxa" w:w="2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Affected Revenue Streams</w:t>
            </w:r>
          </w:p>
        </w:tc>
      </w:tr>
      <w:tr>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April (Baisakh)</w:t>
            </w:r>
          </w:p>
        </w:tc>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Nepali New Year</w:t>
            </w:r>
          </w:p>
        </w:tc>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+15–20%</w:t>
            </w:r>
          </w:p>
        </w:tc>
        <w:tc>
          <w:tcPr>
            <w:tcW w:type="dxa" w:w="2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Account openings, remittance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July–August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Fiscal Year End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+25–30%</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Loan disbursements, tax payments</w:t>
            </w:r>
          </w:p>
        </w:tc>
      </w:tr>
      <w:tr>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August–September</w:t>
            </w:r>
          </w:p>
        </w:tc>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Teej Festival</w:t>
            </w:r>
          </w:p>
        </w:tc>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+10–12%</w:t>
            </w:r>
          </w:p>
        </w:tc>
        <w:tc>
          <w:tcPr>
            <w:tcW w:type="dxa" w:w="2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Remittance, retail spending</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October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Dashain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+35–45%</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Remittance, consumer loans, spending</w:t>
            </w:r>
          </w:p>
        </w:tc>
      </w:tr>
      <w:tr>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November</w:t>
            </w:r>
          </w:p>
        </w:tc>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Tihar</w:t>
            </w:r>
          </w:p>
        </w:tc>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+20–25%</w:t>
            </w:r>
          </w:p>
        </w:tc>
        <w:tc>
          <w:tcPr>
            <w:tcW w:type="dxa" w:w="2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sz w:val="20"/>
                <w:szCs w:val="20"/>
              </w:rPr>
              <w:t xml:space="preserve">Remittance, retail transactions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January–February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Low Season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-10–15%</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streams reduced</w:t>
            </w:r>
          </w:p>
        </w:tc>
      </w:tr>
    </w:tbl>
    <w:p>
      <w:r>
        <w:t xml:space="preserve"> </w:t>
      </w:r>
    </w:p>
    <w:p>
      <w:pPr>
        <w:pStyle w:val="Heading2"/>
        <w:spacing w:after="80" w:before="240"/>
      </w:pPr>
      <w:r>
        <w:rPr>
          <w:rFonts w:ascii="Arial" w:cs="Arial" w:eastAsia="Arial" w:hAnsi="Arial"/>
          <w:b/>
          <w:bCs/>
          <w:color w:val="2E75B6"/>
          <w:sz w:val="28"/>
          <w:szCs w:val="28"/>
        </w:rPr>
        <w:t xml:space="preserve">8. Dashboard Features</w:t>
      </w:r>
    </w:p>
    <w:p>
      <w:pPr>
        <w:pStyle w:val="ListParagraph"/>
        <w:numPr>
          <w:ilvl w:val="0"/>
          <w:numId w:val="2"/>
        </w:numPr>
        <w:spacing w:after="40" w:before="40"/>
      </w:pPr>
      <w:r>
        <w:rPr>
          <w:rFonts w:ascii="Arial" w:cs="Arial" w:eastAsia="Arial" w:hAnsi="Arial"/>
          <w:sz w:val="22"/>
          <w:szCs w:val="22"/>
        </w:rPr>
        <w:t xml:space="preserve">Branch selector: view forecast for any individual branch or regional aggregate</w:t>
      </w:r>
    </w:p>
    <w:p>
      <w:pPr>
        <w:pStyle w:val="ListParagraph"/>
        <w:numPr>
          <w:ilvl w:val="0"/>
          <w:numId w:val="2"/>
        </w:numPr>
        <w:spacing w:after="40" w:before="40"/>
      </w:pPr>
      <w:r>
        <w:rPr>
          <w:rFonts w:ascii="Arial" w:cs="Arial" w:eastAsia="Arial" w:hAnsi="Arial"/>
          <w:sz w:val="22"/>
          <w:szCs w:val="22"/>
        </w:rPr>
        <w:t xml:space="preserve">Forecast horizon: toggle between 1-month, 3-month, and 6-month views</w:t>
      </w:r>
    </w:p>
    <w:p>
      <w:pPr>
        <w:pStyle w:val="ListParagraph"/>
        <w:numPr>
          <w:ilvl w:val="0"/>
          <w:numId w:val="2"/>
        </w:numPr>
        <w:spacing w:after="40" w:before="40"/>
      </w:pPr>
      <w:r>
        <w:rPr>
          <w:rFonts w:ascii="Arial" w:cs="Arial" w:eastAsia="Arial" w:hAnsi="Arial"/>
          <w:sz w:val="22"/>
          <w:szCs w:val="22"/>
        </w:rPr>
        <w:t xml:space="preserve">Confidence bands: visualize 80% and 95% prediction intervals</w:t>
      </w:r>
    </w:p>
    <w:p>
      <w:pPr>
        <w:pStyle w:val="ListParagraph"/>
        <w:numPr>
          <w:ilvl w:val="0"/>
          <w:numId w:val="2"/>
        </w:numPr>
        <w:spacing w:after="40" w:before="40"/>
      </w:pPr>
      <w:r>
        <w:rPr>
          <w:rFonts w:ascii="Arial" w:cs="Arial" w:eastAsia="Arial" w:hAnsi="Arial"/>
          <w:sz w:val="22"/>
          <w:szCs w:val="22"/>
        </w:rPr>
        <w:t xml:space="preserve">Scenario modeling: adjust remittance inflow or interest rate assumptions; see updated forecast</w:t>
      </w:r>
    </w:p>
    <w:p>
      <w:pPr>
        <w:pStyle w:val="ListParagraph"/>
        <w:numPr>
          <w:ilvl w:val="0"/>
          <w:numId w:val="2"/>
        </w:numPr>
        <w:spacing w:after="40" w:before="40"/>
      </w:pPr>
      <w:r>
        <w:rPr>
          <w:rFonts w:ascii="Arial" w:cs="Arial" w:eastAsia="Arial" w:hAnsi="Arial"/>
          <w:sz w:val="22"/>
          <w:szCs w:val="22"/>
        </w:rPr>
        <w:t xml:space="preserve">Alert system: automatic notification if actual revenue deviates &gt; 15% from forecast</w:t>
      </w:r>
    </w:p>
    <w:p>
      <w:pPr>
        <w:pStyle w:val="ListParagraph"/>
        <w:numPr>
          <w:ilvl w:val="0"/>
          <w:numId w:val="2"/>
        </w:numPr>
        <w:spacing w:after="40" w:before="40"/>
      </w:pPr>
      <w:r>
        <w:rPr>
          <w:rFonts w:ascii="Arial" w:cs="Arial" w:eastAsia="Arial" w:hAnsi="Arial"/>
          <w:sz w:val="22"/>
          <w:szCs w:val="22"/>
        </w:rPr>
        <w:t xml:space="preserve">Export: download branch forecast reports as PDF or Excel for management meetings</w:t>
      </w:r>
    </w:p>
    <w:p>
      <w:r>
        <w:t xml:space="preserve"> </w:t>
      </w:r>
    </w:p>
    <w:p>
      <w:pPr>
        <w:pStyle w:val="Heading2"/>
        <w:spacing w:after="80" w:before="240"/>
      </w:pPr>
      <w:r>
        <w:rPr>
          <w:rFonts w:ascii="Arial" w:cs="Arial" w:eastAsia="Arial" w:hAnsi="Arial"/>
          <w:b/>
          <w:bCs/>
          <w:color w:val="2E75B6"/>
          <w:sz w:val="28"/>
          <w:szCs w:val="28"/>
        </w:rPr>
        <w:t xml:space="preserve">9. Expected Outcomes &amp;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Forecast MAPE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&lt; 8% (vs. 18–22% manual baseline)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Forecast Horizon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Up to 6 months with reasonable accuracy</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Branches Covered</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 GIBL branches simultaneously</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Automation Level</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100% automated — daily model refresh</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Planning Cycle Reduction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From 3 weeks to &lt; 1 day for annual target setting</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Resource Optimization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Estimated 12% reduction in branch operational costs</w:t>
            </w:r>
          </w:p>
        </w:tc>
      </w:tr>
    </w:tbl>
    <w:p>
      <w:r>
        <w:t xml:space="preserve"> </w:t>
      </w:r>
    </w:p>
    <w:p>
      <w:pPr>
        <w:pStyle w:val="Heading2"/>
        <w:spacing w:after="80" w:before="240"/>
      </w:pPr>
      <w:r>
        <w:rPr>
          <w:rFonts w:ascii="Arial" w:cs="Arial" w:eastAsia="Arial" w:hAnsi="Arial"/>
          <w:b/>
          <w:bCs/>
          <w:color w:val="2E75B6"/>
          <w:sz w:val="28"/>
          <w:szCs w:val="28"/>
        </w:rPr>
        <w:t xml:space="preserve">10.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Python 3.10+</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Time Series Model</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Facebook Prophet (Meta Open Source)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ML Model</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XGBoost, Scikit-learn</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Data Processing</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Pandas, NumPy, statsmodels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Visualization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Plotly, Matplotlib</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Streamlit / Power BI</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Scheduling</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Apache Airflow (automated retraining)</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API</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FastAPI — serve forecasts to management systems</w:t>
            </w:r>
          </w:p>
        </w:tc>
      </w:tr>
    </w:tbl>
    <w:p>
      <w:r>
        <w:t xml:space="preserve"> </w:t>
      </w:r>
    </w:p>
    <w:p>
      <w:pPr>
        <w:pStyle w:val="Heading2"/>
        <w:spacing w:after="80" w:before="240"/>
      </w:pPr>
      <w:r>
        <w:rPr>
          <w:rFonts w:ascii="Arial" w:cs="Arial" w:eastAsia="Arial" w:hAnsi="Arial"/>
          <w:b/>
          <w:bCs/>
          <w:color w:val="2E75B6"/>
          <w:sz w:val="28"/>
          <w:szCs w:val="28"/>
        </w:rPr>
        <w:t xml:space="preserve">11. Conclusion</w:t>
      </w:r>
    </w:p>
    <w:p>
      <w:pPr>
        <w:spacing w:after="80" w:before="60"/>
        <w:jc w:val="both"/>
      </w:pPr>
      <w:r>
        <w:rPr>
          <w:rFonts w:ascii="Arial" w:cs="Arial" w:eastAsia="Arial" w:hAnsi="Arial"/>
          <w:sz w:val="22"/>
          <w:szCs w:val="22"/>
        </w:rPr>
        <w:t xml:space="preserve">The proposed Branch Revenue Prediction System brings data science rigor to one of Global IME Bank's most critical management functions — revenue planning. By capturing Nepal's unique festival-driven seasonality, remittance cycles, and local economic dynamics through an ensemble of Prophet and XGBoost models, the system delivers forecasts that are significantly more accurate than current manual approaches. Branch managers gain confidence in their targets, headquarters can allocate resources more efficiently, and the bank as a whole operates with greater financial predictability. This system represents a foundational investment in GIBL's data-driven management infrastructure — one that will generate compounding returns as the model learns from more historical data over time.</w:t>
      </w:r>
    </w:p>
    <w:p>
      <w:r>
        <w:t xml:space="preserve"> </w:t>
      </w:r>
    </w:p>
    <w:p>
      <w:pPr>
        <w:pBdr>
          <w:top w:val="single" w:color="2E75B6" w:sz="8" w:space="4"/>
        </w:pBdr>
        <w:spacing w:after="80" w:before="240"/>
        <w:jc w:val="center"/>
      </w:pPr>
      <w:r>
        <w:rPr>
          <w:rFonts w:ascii="Arial" w:cs="Arial" w:eastAsia="Arial" w:hAnsi="Arial"/>
          <w:b/>
          <w:bCs/>
          <w:color w:val="1F4E79"/>
          <w:sz w:val="22"/>
          <w:szCs w:val="22"/>
        </w:rPr>
        <w:t xml:space="preserve">— End of All Concept Papers —</w:t>
      </w:r>
    </w:p>
    <w:p>
      <w:pPr>
        <w:jc w:val="center"/>
      </w:pPr>
      <w:r>
        <w:rPr>
          <w:rFonts w:ascii="Arial" w:cs="Arial" w:eastAsia="Arial" w:hAnsi="Arial"/>
          <w:color w:val="777777"/>
          <w:sz w:val="20"/>
          <w:szCs w:val="20"/>
        </w:rPr>
        <w:t xml:space="preserve">Global IME AI/ML Hackathon 2025  |  hackathon@gibl.com.np</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2026-04-11T04:39:01.560Z</dcterms:created>
  <dcterms:modified xsi:type="dcterms:W3CDTF">2026-04-11T04:39:01.562Z</dcterms:modified>
</cp:coreProperties>
</file>

<file path=docProps/custom.xml><?xml version="1.0" encoding="utf-8"?>
<Properties xmlns="http://schemas.openxmlformats.org/officeDocument/2006/custom-properties" xmlns:vt="http://schemas.openxmlformats.org/officeDocument/2006/docPropsVTypes"/>
</file>