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spacing w:before="77" w:lineRule="auto"/>
        <w:ind w:left="90" w:right="15" w:firstLine="0"/>
        <w:rPr>
          <w:u w:val="none"/>
        </w:rPr>
      </w:pPr>
      <w:r w:rsidDel="00000000" w:rsidR="00000000" w:rsidRPr="00000000">
        <w:rPr>
          <w:rtl w:val="0"/>
        </w:rPr>
        <w:t xml:space="preserve">S</w:t>
      </w:r>
      <w:r w:rsidDel="00000000" w:rsidR="00000000" w:rsidRPr="00000000">
        <w:rPr>
          <w:u w:val="single"/>
          <w:rtl w:val="0"/>
        </w:rPr>
        <w:t xml:space="preserve">TIPULATION OF SETTLEMENT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90" w:right="15" w:firstLine="0"/>
        <w:jc w:val="center"/>
        <w:rPr>
          <w:b w:val="1"/>
          <w:i w:val="0"/>
          <w:smallCaps w:val="0"/>
          <w:strike w:val="0"/>
          <w:color w:val="000000"/>
          <w:sz w:val="21"/>
          <w:szCs w:val="21"/>
          <w:u w:val="single"/>
          <w:shd w:fill="auto" w:val="clear"/>
          <w:vertAlign w:val="baseline"/>
        </w:rPr>
      </w:pPr>
      <w:r w:rsidDel="00000000" w:rsidR="00000000" w:rsidRPr="00000000">
        <w:rPr>
          <w:b w:val="1"/>
          <w:sz w:val="21"/>
          <w:szCs w:val="21"/>
          <w:u w:val="single"/>
          <w:rtl w:val="0"/>
        </w:rPr>
        <w:t xml:space="preserve">AND</w:t>
      </w:r>
      <w:r w:rsidDel="00000000" w:rsidR="00000000" w:rsidRPr="00000000">
        <w:rPr>
          <w:rtl w:val="0"/>
        </w:rPr>
      </w:r>
    </w:p>
    <w:p w:rsidR="00000000" w:rsidDel="00000000" w:rsidP="00000000" w:rsidRDefault="00000000" w:rsidRPr="00000000" w14:paraId="00000003">
      <w:pPr>
        <w:pStyle w:val="Heading1"/>
        <w:pageBreakBefore w:val="0"/>
        <w:spacing w:before="17" w:lineRule="auto"/>
        <w:ind w:left="90" w:right="15" w:firstLine="0"/>
        <w:rPr>
          <w:u w:val="single"/>
        </w:rPr>
      </w:pPr>
      <w:r w:rsidDel="00000000" w:rsidR="00000000" w:rsidRPr="00000000">
        <w:rPr>
          <w:u w:val="single"/>
          <w:rtl w:val="0"/>
        </w:rPr>
        <w:t xml:space="preserve">AGREEMENT TO ENTRY OF JUDGEMENT BY CONSENT</w:t>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pageBreakBefore w:val="0"/>
        <w:tabs>
          <w:tab w:val="left" w:pos="5436"/>
        </w:tabs>
        <w:spacing w:before="92" w:lineRule="auto"/>
        <w:ind w:left="167" w:right="0" w:firstLine="0"/>
        <w:jc w:val="left"/>
        <w:rPr>
          <w:b w:val="1"/>
          <w:sz w:val="21"/>
          <w:szCs w:val="21"/>
        </w:rPr>
      </w:pPr>
      <w:r w:rsidDel="00000000" w:rsidR="00000000" w:rsidRPr="00000000">
        <w:rPr>
          <w:sz w:val="21"/>
          <w:szCs w:val="21"/>
          <w:rtl w:val="0"/>
        </w:rPr>
        <w:t xml:space="preserve">Date: </w:t>
      </w:r>
      <w:r w:rsidDel="00000000" w:rsidR="00000000" w:rsidRPr="00000000">
        <w:rPr>
          <w:b w:val="1"/>
          <w:sz w:val="21"/>
          <w:szCs w:val="21"/>
          <w:u w:val="single"/>
          <w:rtl w:val="0"/>
        </w:rPr>
        <w:t xml:space="preserve">07/07/2022</w:t>
      </w:r>
      <w:r w:rsidDel="00000000" w:rsidR="00000000" w:rsidRPr="00000000">
        <w:rPr>
          <w:b w:val="1"/>
          <w:sz w:val="21"/>
          <w:szCs w:val="21"/>
          <w:rtl w:val="0"/>
        </w:rPr>
        <w:tab/>
      </w:r>
      <w:r w:rsidDel="00000000" w:rsidR="00000000" w:rsidRPr="00000000">
        <w:rPr>
          <w:sz w:val="21"/>
          <w:szCs w:val="21"/>
          <w:rtl w:val="0"/>
        </w:rPr>
        <w:t xml:space="preserve">Case Number:21SL-AC</w:t>
      </w:r>
      <w:r w:rsidDel="00000000" w:rsidR="00000000" w:rsidRPr="00000000">
        <w:rPr>
          <w:rtl w:val="0"/>
        </w:rPr>
      </w:r>
    </w:p>
    <w:p w:rsidR="00000000" w:rsidDel="00000000" w:rsidP="00000000" w:rsidRDefault="00000000" w:rsidRPr="00000000" w14:paraId="00000006">
      <w:pPr>
        <w:pageBreakBefore w:val="0"/>
        <w:tabs>
          <w:tab w:val="left" w:pos="5436"/>
        </w:tabs>
        <w:spacing w:before="17" w:lineRule="auto"/>
        <w:ind w:left="167" w:right="0" w:firstLine="0"/>
        <w:jc w:val="left"/>
        <w:rPr>
          <w:b w:val="1"/>
          <w:sz w:val="21"/>
          <w:szCs w:val="21"/>
        </w:rPr>
      </w:pPr>
      <w:r w:rsidDel="00000000" w:rsidR="00000000" w:rsidRPr="00000000">
        <w:rPr>
          <w:sz w:val="21"/>
          <w:szCs w:val="21"/>
          <w:rtl w:val="0"/>
        </w:rPr>
        <w:t xml:space="preserve">Plaintiff (Landlord): </w:t>
      </w:r>
      <w:r w:rsidDel="00000000" w:rsidR="00000000" w:rsidRPr="00000000">
        <w:rPr>
          <w:b w:val="1"/>
          <w:sz w:val="21"/>
          <w:szCs w:val="21"/>
          <w:u w:val="single"/>
          <w:rtl w:val="0"/>
        </w:rPr>
        <w:t xml:space="preserve">A&amp;M Property Management and Development, Inc.</w:t>
      </w:r>
      <w:r w:rsidDel="00000000" w:rsidR="00000000" w:rsidRPr="00000000">
        <w:rPr>
          <w:b w:val="1"/>
          <w:sz w:val="21"/>
          <w:szCs w:val="21"/>
          <w:rtl w:val="0"/>
        </w:rPr>
        <w:tab/>
      </w:r>
      <w:r w:rsidDel="00000000" w:rsidR="00000000" w:rsidRPr="00000000">
        <w:rPr>
          <w:sz w:val="21"/>
          <w:szCs w:val="21"/>
          <w:rtl w:val="0"/>
        </w:rPr>
        <w:t xml:space="preserve">Defendant(s) (Tenant(s)): </w:t>
      </w:r>
      <w:r w:rsidDel="00000000" w:rsidR="00000000" w:rsidRPr="00000000">
        <w:rPr>
          <w:b w:val="1"/>
          <w:sz w:val="21"/>
          <w:szCs w:val="21"/>
          <w:u w:val="single"/>
          <w:rtl w:val="0"/>
        </w:rPr>
        <w:t xml:space="preserve">ddsfdsf  sdfdsfsdf</w:t>
      </w:r>
      <w:r w:rsidDel="00000000" w:rsidR="00000000" w:rsidRPr="00000000">
        <w:rPr>
          <w:rtl w:val="0"/>
        </w:rPr>
      </w:r>
    </w:p>
    <w:p w:rsidR="00000000" w:rsidDel="00000000" w:rsidP="00000000" w:rsidRDefault="00000000" w:rsidRPr="00000000" w14:paraId="00000007">
      <w:pPr>
        <w:pageBreakBefore w:val="0"/>
        <w:spacing w:before="18" w:lineRule="auto"/>
        <w:ind w:left="167" w:right="0" w:firstLine="0"/>
        <w:jc w:val="left"/>
        <w:rPr>
          <w:b w:val="1"/>
          <w:sz w:val="21"/>
          <w:szCs w:val="21"/>
        </w:rPr>
      </w:pPr>
      <w:r w:rsidDel="00000000" w:rsidR="00000000" w:rsidRPr="00000000">
        <w:rPr>
          <w:sz w:val="21"/>
          <w:szCs w:val="21"/>
          <w:rtl w:val="0"/>
        </w:rPr>
        <w:t xml:space="preserve">Leased Premises: </w:t>
      </w:r>
      <w:r w:rsidDel="00000000" w:rsidR="00000000" w:rsidRPr="00000000">
        <w:rPr>
          <w:b w:val="1"/>
          <w:sz w:val="21"/>
          <w:szCs w:val="21"/>
          <w:u w:val="single"/>
          <w:rtl w:val="0"/>
        </w:rPr>
        <w:t xml:space="preserve">23123 sdfsfsfsf, 34, St Louis, Missouri  63132</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54" w:lineRule="auto"/>
        <w:ind w:left="110" w:right="234" w:firstLine="809"/>
        <w:jc w:val="left"/>
        <w:rPr>
          <w:sz w:val="21"/>
          <w:szCs w:val="21"/>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Landlord and the Tenant(s) agree that the Court shall include the following Stipulation of Settlement and Agreement to Entry of Judgment (§517.121 RSMo.) as a part of the judgment of the Court, and this will be entered by this Court whether Defendant appears in person, or if Plaintiff’s counsel brings same to Court.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458"/>
        </w:tabs>
        <w:spacing w:after="0" w:before="0" w:line="240" w:lineRule="auto"/>
        <w:ind w:left="457" w:right="0" w:hanging="348"/>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Tenant(s) executed the lease, which is in full force and legal effect.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58"/>
        </w:tabs>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458"/>
        </w:tabs>
        <w:spacing w:after="0" w:before="0" w:line="240" w:lineRule="auto"/>
        <w:ind w:left="457" w:right="0" w:hanging="348"/>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Tenants are in default of payment of rent as required by the lease.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58"/>
        </w:tabs>
        <w:spacing w:after="0" w:before="0" w:line="240" w:lineRule="auto"/>
        <w:ind w:left="457" w:right="0" w:firstLine="0"/>
        <w:jc w:val="left"/>
        <w:rPr>
          <w:sz w:val="21"/>
          <w:szCs w:val="21"/>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458"/>
        </w:tabs>
        <w:spacing w:after="0" w:before="0" w:line="240" w:lineRule="auto"/>
        <w:ind w:left="457" w:right="0" w:hanging="348"/>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 set forth in the Petition, the Landlord is entitled the relief as prayed for in the Petition, to wit,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2.00000000000003" w:lineRule="auto"/>
        <w:ind w:left="110" w:right="41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i w:val="0"/>
          <w:smallCaps w:val="0"/>
          <w:strike w:val="0"/>
          <w:color w:val="000000"/>
          <w:sz w:val="21"/>
          <w:szCs w:val="21"/>
          <w:shd w:fill="auto" w:val="clear"/>
          <w:vertAlign w:val="baseline"/>
          <w:rtl w:val="0"/>
        </w:rPr>
        <w:t xml:space="preserve">0.00</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including past due and payable rents, costs, disbursements and attorneys’ fees in accordance with the lease terms and is entitled to reenter and to take possession of the premises.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2.00000000000003" w:lineRule="auto"/>
        <w:ind w:left="110" w:right="410" w:firstLine="0"/>
        <w:jc w:val="left"/>
        <w:rPr>
          <w:sz w:val="21"/>
          <w:szCs w:val="2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458"/>
          <w:tab w:val="left" w:pos="10280"/>
        </w:tabs>
        <w:spacing w:after="0" w:before="0" w:line="254" w:lineRule="auto"/>
        <w:ind w:left="110" w:right="98" w:firstLine="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Tenant(s) acknowledges being in default of the lease, however desires to stay in possession of the leased premises for the term of the lease and has requested Landlord’s attorney for a Payment Plan to allow Tenant(s) to remain in possession. Landlord agrees to withhold eviction and to allow Tenant(s) to remain in possession under the lease, providing that the Tenant(s) execute this Stipulation of Settlement and Agreement to Entry of Judgment by Consent and fully comply with the Payment Plan below that includes full payment of past due rent, costs, disbursements and attorneys’ fees. The Payment Plan below includes rent to become due on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with which, without the Payment Plan, Tenant(s) would be unable to comply on the date that the next month’s rent is due to be paid, in accordance with the terms of the lease. Tenant(s) further agrees that if any later monthly payments of rent become due and payable during the Payment Plan and which is not covered by the Payment Plan below, Tenant(s) will pay those payments in accordance with the terms of the lease. Upon full payment under the Payment Plan the lease, including the lease’s non-waiver provisions, is deemed to be in full force and effect.</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458"/>
          <w:tab w:val="left" w:pos="9349"/>
        </w:tabs>
        <w:spacing w:after="0" w:before="0" w:line="240" w:lineRule="auto"/>
        <w:ind w:left="457" w:right="0" w:hanging="348"/>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 a consequence of the foregoing, Tenant(s) confesses judgment in the amount of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r>
      <w:r w:rsidDel="00000000" w:rsidR="00000000" w:rsidRPr="00000000">
        <w:rPr>
          <w:sz w:val="21"/>
          <w:szCs w:val="21"/>
          <w:u w:val="single"/>
          <w:rtl w:val="0"/>
        </w:rPr>
        <w:t xml:space="preserve">________</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plus costs.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pageBreakBefore w:val="0"/>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u w:val="single"/>
          <w:rtl w:val="0"/>
        </w:rPr>
        <w:t xml:space="preserve">PAYMENT PLAN</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307"/>
          <w:tab w:val="left" w:pos="2585"/>
          <w:tab w:val="left" w:pos="3898"/>
          <w:tab w:val="left" w:pos="5176"/>
          <w:tab w:val="left" w:pos="6489"/>
          <w:tab w:val="left" w:pos="7767"/>
          <w:tab w:val="left" w:pos="9080"/>
          <w:tab w:val="left" w:pos="10358"/>
        </w:tabs>
        <w:spacing w:after="0" w:before="91" w:line="254" w:lineRule="auto"/>
        <w:ind w:left="110" w:right="301" w:firstLine="0"/>
        <w:jc w:val="left"/>
        <w:rPr>
          <w:rFonts w:ascii="Arial" w:cs="Arial" w:eastAsia="Arial" w:hAnsi="Arial"/>
          <w:b w:val="0"/>
          <w:i w:val="0"/>
          <w:smallCaps w:val="0"/>
          <w:strike w:val="0"/>
          <w:color w:val="000000"/>
          <w:sz w:val="21"/>
          <w:szCs w:val="21"/>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On_______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$_________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On_______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$_________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On_______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$_________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On_______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On______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$_________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On_______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$_________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On_______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$_________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On_______</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307"/>
          <w:tab w:val="left" w:pos="2585"/>
          <w:tab w:val="left" w:pos="3898"/>
          <w:tab w:val="left" w:pos="5176"/>
          <w:tab w:val="left" w:pos="6489"/>
          <w:tab w:val="left" w:pos="7767"/>
          <w:tab w:val="left" w:pos="9080"/>
          <w:tab w:val="left" w:pos="10358"/>
        </w:tabs>
        <w:spacing w:after="0" w:before="91" w:line="254" w:lineRule="auto"/>
        <w:ind w:left="110" w:right="301" w:firstLine="0"/>
        <w:jc w:val="left"/>
        <w:rPr>
          <w:sz w:val="21"/>
          <w:szCs w:val="21"/>
          <w:u w:val="singl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Signatures: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0" w:firstLine="0"/>
        <w:jc w:val="left"/>
        <w:rPr>
          <w:sz w:val="21"/>
          <w:szCs w:val="2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0" w:firstLine="0"/>
        <w:jc w:val="left"/>
        <w:rPr>
          <w:sz w:val="21"/>
          <w:szCs w:val="21"/>
        </w:rPr>
      </w:pPr>
      <w:r w:rsidDel="00000000" w:rsidR="00000000" w:rsidRPr="00000000">
        <w:rPr>
          <w:sz w:val="21"/>
          <w:szCs w:val="21"/>
          <w:rtl w:val="0"/>
        </w:rPr>
        <w:t xml:space="preserve">A&amp;M Property Management and Development, Inc.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0" w:firstLine="0"/>
        <w:jc w:val="left"/>
        <w:rPr>
          <w:sz w:val="21"/>
          <w:szCs w:val="2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394"/>
          <w:tab w:val="left" w:pos="5436"/>
          <w:tab w:val="left" w:pos="8496"/>
        </w:tabs>
        <w:spacing w:after="0" w:before="0" w:line="240" w:lineRule="auto"/>
        <w:ind w:left="167"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By: </w:t>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ab/>
      </w:r>
      <w:r w:rsidDel="00000000" w:rsidR="00000000" w:rsidRPr="00000000">
        <w:rPr>
          <w:rFonts w:ascii="Arial" w:cs="Arial" w:eastAsia="Arial" w:hAnsi="Arial"/>
          <w:b w:val="0"/>
          <w:i w:val="0"/>
          <w:smallCaps w:val="0"/>
          <w:strike w:val="0"/>
          <w:color w:val="000000"/>
          <w:sz w:val="21"/>
          <w:szCs w:val="21"/>
          <w:u w:val="single"/>
          <w:shd w:fill="auto" w:val="clear"/>
          <w:vertAlign w:val="baseline"/>
          <w:rtl w:val="0"/>
        </w:rPr>
        <w:t xml:space="preserve"> </w:t>
        <w:tab/>
      </w:r>
      <w:r w:rsidDel="00000000" w:rsidR="00000000" w:rsidRPr="00000000">
        <w:rPr>
          <w:sz w:val="15"/>
          <w:szCs w:val="15"/>
          <w:rtl w:val="0"/>
        </w:rPr>
        <w:tab/>
        <w:tab/>
        <w:tab/>
        <w:tab/>
        <w:tab/>
        <w:tab/>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5436"/>
        </w:tabs>
        <w:spacing w:after="0" w:before="91" w:line="240" w:lineRule="auto"/>
        <w:ind w:left="629"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Matthew S. Chase, MOB 57085 Attorney</w:t>
        <w:tab/>
        <w:t xml:space="preserve"> Tenant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ab/>
        <w:tab/>
        <w:tab/>
        <w:tab/>
        <w:tab/>
        <w:tab/>
        <w:tab/>
        <w:t xml:space="preserve">       __________________________</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5040" w:right="1721"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sz w:val="13"/>
          <w:szCs w:val="13"/>
          <w:rtl w:val="0"/>
        </w:rPr>
        <w:t xml:space="preserv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Tenant</w:t>
      </w:r>
    </w:p>
    <w:sectPr>
      <w:pgSz w:h="15840" w:w="12240" w:orient="portrait"/>
      <w:pgMar w:bottom="280" w:top="740" w:left="740" w:right="7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57" w:hanging="347"/>
      </w:pPr>
      <w:rPr>
        <w:rFonts w:ascii="Arial" w:cs="Arial" w:eastAsia="Arial" w:hAnsi="Arial"/>
        <w:sz w:val="21"/>
        <w:szCs w:val="21"/>
      </w:rPr>
    </w:lvl>
    <w:lvl w:ilvl="1">
      <w:start w:val="0"/>
      <w:numFmt w:val="bullet"/>
      <w:lvlText w:val="•"/>
      <w:lvlJc w:val="left"/>
      <w:pPr>
        <w:ind w:left="1486" w:hanging="347"/>
      </w:pPr>
      <w:rPr/>
    </w:lvl>
    <w:lvl w:ilvl="2">
      <w:start w:val="0"/>
      <w:numFmt w:val="bullet"/>
      <w:lvlText w:val="•"/>
      <w:lvlJc w:val="left"/>
      <w:pPr>
        <w:ind w:left="2512" w:hanging="347"/>
      </w:pPr>
      <w:rPr/>
    </w:lvl>
    <w:lvl w:ilvl="3">
      <w:start w:val="0"/>
      <w:numFmt w:val="bullet"/>
      <w:lvlText w:val="•"/>
      <w:lvlJc w:val="left"/>
      <w:pPr>
        <w:ind w:left="3538" w:hanging="347"/>
      </w:pPr>
      <w:rPr/>
    </w:lvl>
    <w:lvl w:ilvl="4">
      <w:start w:val="0"/>
      <w:numFmt w:val="bullet"/>
      <w:lvlText w:val="•"/>
      <w:lvlJc w:val="left"/>
      <w:pPr>
        <w:ind w:left="4564" w:hanging="347"/>
      </w:pPr>
      <w:rPr/>
    </w:lvl>
    <w:lvl w:ilvl="5">
      <w:start w:val="0"/>
      <w:numFmt w:val="bullet"/>
      <w:lvlText w:val="•"/>
      <w:lvlJc w:val="left"/>
      <w:pPr>
        <w:ind w:left="5590" w:hanging="347"/>
      </w:pPr>
      <w:rPr/>
    </w:lvl>
    <w:lvl w:ilvl="6">
      <w:start w:val="0"/>
      <w:numFmt w:val="bullet"/>
      <w:lvlText w:val="•"/>
      <w:lvlJc w:val="left"/>
      <w:pPr>
        <w:ind w:left="6616" w:hanging="347"/>
      </w:pPr>
      <w:rPr/>
    </w:lvl>
    <w:lvl w:ilvl="7">
      <w:start w:val="0"/>
      <w:numFmt w:val="bullet"/>
      <w:lvlText w:val="•"/>
      <w:lvlJc w:val="left"/>
      <w:pPr>
        <w:ind w:left="7642" w:hanging="347"/>
      </w:pPr>
      <w:rPr/>
    </w:lvl>
    <w:lvl w:ilvl="8">
      <w:start w:val="0"/>
      <w:numFmt w:val="bullet"/>
      <w:lvlText w:val="•"/>
      <w:lvlJc w:val="left"/>
      <w:pPr>
        <w:ind w:left="8668" w:hanging="347"/>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ind w:left="2464" w:right="2535"/>
      <w:jc w:val="center"/>
    </w:pPr>
    <w:rPr>
      <w:rFonts w:ascii="Arial" w:cs="Arial" w:eastAsia="Arial" w:hAnsi="Arial"/>
      <w:b w:val="1"/>
      <w:sz w:val="21"/>
      <w:szCs w:val="21"/>
      <w:u w:val="singl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