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13C86826" w14:textId="4BF3CD1F">
      <w:r>
        <w:rPr>
          <w:noProof/>
        </w:rPr>
        <mc:AlternateContent>
          <mc:Choice Requires="cx1">
            <w:drawing>
              <wp:inline distT="0" distB="0" distL="0" distR="0">
                <wp:extent cx="5486400" cy="6007100"/>
                <wp:effectExtent l="0" t="0" r="0" b="1270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6007100"/>
                <wp:effectExtent l="0" t="0" r="0" b="12700"/>
                <wp:docPr id="511279090" name="Chart 1"/>
                <wp:cNvGraphicFramePr>
                  <a:graphicFrameLocks xmlns:a="http://schemas.openxmlformats.org/drawingml/2006/main" noChangeAspect="1" noGrp="1" noMove="1" noSelect="1" noDrilldown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279090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00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BA"/>
    <w:rsid w:val="00503FBA"/>
    <w:rsid w:val="005F33F1"/>
    <w:rsid w:val="009664FB"/>
    <w:rsid w:val="00C546E6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F3E2CE9-2F96-4760-870F-C39441A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4/relationships/chartEx" Target="charts/chartEx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Ex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data id="0">
      <cx:strDim type="cat">
        <cx:lvl ptCount="8">
          <cx:pt idx="0">Cloud Computing</cx:pt>
          <cx:pt idx="1">Cybersecurity</cx:pt>
          <cx:pt idx="2">Semiconductors</cx:pt>
          <cx:pt idx="3">Consumer Electronics</cx:pt>
          <cx:pt idx="4">Retail Banking</cx:pt>
          <cx:pt idx="5">Investment Banking</cx:pt>
          <cx:pt idx="6">Life Insurance</cx:pt>
          <cx:pt idx="7">Property Insurance</cx:pt>
        </cx:lvl>
        <cx:lvl ptCount="8">
          <cx:pt idx="0">Software</cx:pt>
          <cx:pt idx="1">Software</cx:pt>
          <cx:pt idx="2">Hardware</cx:pt>
          <cx:pt idx="3">Hardware</cx:pt>
          <cx:pt idx="4">Banking</cx:pt>
          <cx:pt idx="5">Banking</cx:pt>
          <cx:pt idx="6">Insurance</cx:pt>
          <cx:pt idx="7">Insurance</cx:pt>
        </cx:lvl>
        <cx:lvl ptCount="8">
          <cx:pt idx="0">Technology</cx:pt>
          <cx:pt idx="1">Technology</cx:pt>
          <cx:pt idx="2">Technology</cx:pt>
          <cx:pt idx="3">Technology</cx:pt>
          <cx:pt idx="4">Finance</cx:pt>
          <cx:pt idx="5">Finance</cx:pt>
          <cx:pt idx="6">Finance</cx:pt>
          <cx:pt idx="7">Finance</cx:pt>
        </cx:lvl>
      </cx:strDim>
      <cx:numDim type="size">
        <cx:lvl ptCount="8" formatCode="Основной">
          <cx:pt idx="0">20000</cx:pt>
          <cx:pt idx="1">25000</cx:pt>
          <cx:pt idx="2">15000</cx:pt>
          <cx:pt idx="3">18000</cx:pt>
          <cx:pt idx="4">22000</cx:pt>
          <cx:pt idx="5">28000</cx:pt>
          <cx:pt idx="6">16000</cx:pt>
          <cx:pt idx="7">19000</cx:pt>
        </cx:lvl>
      </cx:numDim>
    </cx:data>
  </cx:chartData>
  <cx:chart>
    <cx:title>
      <cx:tx>
        <cx:rich>
          <a:bodyPr anchor="ctr" anchorCtr="1"/>
          <a:lstStyle/>
          <a:p>
            <a:pPr>
              <a:def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defRPr>
            </a:pPr>
            <a:r>
              <a:rPr/>
              <a:t>Revenue by Industry</a:t>
            </a:r>
          </a:p>
        </cx:rich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Revenue by Industry&lt;&lt;foreach [in items]&gt;&gt;&lt;&lt;x [subsector]&gt;&gt;&lt;&lt;x2 [sector]&gt;&gt;&lt;&lt;x3 [name]&gt;&gt;</a:t>
          </a:r>
        </a:p>
      </cx:txPr>
    </cx:title>
    <cx:plotArea>
      <cx:plotAreaRegion>
        <cx:series layoutId="sunburst" uniqueId="{65164516-61C3-4EF2-BF09-515DE9DE0D2C}">
          <cx:tx>
            <cx:txData>
              <cx:f>Sheet1!$D$1</cx:f>
              <cx:v>Revenue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2024-07-01T21:42:00Z</dcterms:created>
  <dcterms:modified xsi:type="dcterms:W3CDTF">2024-07-05T22:27:00Z</dcterms:modified>
</cp:coreProperties>
</file>