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CD55" w14:textId="762D5976" w:rsidR="00E846DE" w:rsidRPr="005E4519" w:rsidRDefault="005E4519">
      <w:pPr>
        <w:rPr>
          <w:lang w:val="en-US"/>
        </w:rPr>
      </w:pPr>
      <w:r w:rsidRPr="005E4519">
        <w:rPr>
          <w:lang w:val="en-US"/>
        </w:rPr>
        <w:t>The point at which the Project Charter is signed, and the project’s objectives are mapped 1:1 to the 2025 Corporate Sustainability and Growth Goals.</w:t>
      </w:r>
    </w:p>
    <w:sectPr w:rsidR="00E846DE" w:rsidRPr="005E4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41"/>
    <w:rsid w:val="00420274"/>
    <w:rsid w:val="005E4519"/>
    <w:rsid w:val="00C74751"/>
    <w:rsid w:val="00E34441"/>
    <w:rsid w:val="00E846D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B2B137-EE42-4FE1-A3BA-DA05B2F4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2025-12-16T20:27:00Z</dcterms:created>
  <dcterms:modified xsi:type="dcterms:W3CDTF">2025-12-16T20:28:00Z</dcterms:modified>
</cp:coreProperties>
</file>