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857FD9" w14:paraId="7B492DD1" w14:textId="040989FA">
      <w:pPr>
        <w:pStyle w:val="Heading1"/>
        <w:rPr>
          <w:lang w:val="en-US"/>
        </w:rPr>
      </w:pPr>
      <w:r w:rsidRPr="00385563">
        <w:rPr>
          <w:lang w:val="en-US"/>
        </w:rPr>
        <w:t>Commercial Monetization Review</w:t>
      </w:r>
    </w:p>
    <w:p w:rsidR="00857FD9" w:rsidRPr="00857FD9" w:rsidP="00857FD9" w14:paraId="4EFE7D94" w14:textId="13028890">
      <w:pPr>
        <w:rPr>
          <w:lang w:val="en-US"/>
        </w:rPr>
      </w:pPr>
      <w:r>
        <w:rPr>
          <w:lang w:val="en-US"/>
        </w:rPr>
        <w:t>Asset Class Alpha</w:t>
      </w:r>
      <w:r w:rsidRPr="00857FD9">
        <w:rPr>
          <w:lang w:val="en-US"/>
        </w:rPr>
        <w:t xml:space="preserve"> monetization deploys </w:t>
      </w:r>
      <w:r>
        <w:rPr>
          <w:shd w:val="clear" w:color="auto" w:fill="90EE90"/>
          <w:lang w:val="en-US"/>
        </w:rPr>
        <w:t>Subscription Model</w:t>
      </w:r>
      <w:r w:rsidRPr="00857FD9">
        <w:rPr>
          <w:lang w:val="en-US"/>
        </w:rPr>
        <w:t xml:space="preserve"> under </w:t>
      </w:r>
      <w:r>
        <w:rPr>
          <w:lang w:val="en-US"/>
        </w:rPr>
        <w:t>Annual Renewal</w:t>
      </w:r>
      <w:r w:rsidRPr="00857FD9">
        <w:rPr>
          <w:lang w:val="en-US"/>
        </w:rPr>
        <w:t>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7C"/>
    <w:rsid w:val="00385563"/>
    <w:rsid w:val="00420274"/>
    <w:rsid w:val="006F757C"/>
    <w:rsid w:val="00857FD9"/>
    <w:rsid w:val="00C41C4C"/>
    <w:rsid w:val="00C74751"/>
    <w:rsid w:val="00DC5A26"/>
    <w:rsid w:val="00E846DE"/>
    <w:rsid w:val="00FB43CD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AB84BDB"/>
  <w15:chartTrackingRefBased/>
  <w15:docId w15:val="{0A3B5735-4370-4B4F-B9F9-694BBE75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2026-07-13T14:54:00Z</dcterms:created>
  <dcterms:modified xsi:type="dcterms:W3CDTF">2026-07-19T08:39:00Z</dcterms:modified>
</cp:coreProperties>
</file>