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sz w:val="28"/>
        </w:rPr>
        <w:t>Algorithmic Approach to Improving Video Material Accessibility Based on Automatic Speech-Text Alignment</w:t>
      </w:r>
    </w:p>
    <w:p>
      <w:pPr>
        <w:spacing w:after="40" w:before="0"/>
      </w:pPr>
      <w:r>
        <w:rPr>
          <w:rFonts w:ascii="Times New Roman" w:hAnsi="Times New Roman"/>
          <w:b/>
          <w:sz w:val="24"/>
        </w:rPr>
        <w:t>UDC:</w:t>
      </w:r>
      <w:r>
        <w:rPr>
          <w:rFonts w:ascii="Times New Roman" w:hAnsi="Times New Roman"/>
          <w:sz w:val="24"/>
        </w:rPr>
        <w:t xml:space="preserve"> 004.934:004.032.6:37.018.43</w:t>
      </w:r>
    </w:p>
    <w:p>
      <w:pPr>
        <w:spacing w:after="40" w:before="0"/>
      </w:pPr>
      <w:r>
        <w:rPr>
          <w:rFonts w:ascii="Times New Roman" w:hAnsi="Times New Roman"/>
          <w:b/>
          <w:sz w:val="24"/>
        </w:rPr>
        <w:t>DOI:</w:t>
      </w:r>
      <w:r>
        <w:rPr>
          <w:rFonts w:ascii="Times New Roman" w:hAnsi="Times New Roman"/>
          <w:sz w:val="24"/>
        </w:rPr>
        <w:t xml:space="preserve"> (Assigned by Editorial Board upon acceptance)</w:t>
      </w:r>
    </w:p>
    <w:p>
      <w:pPr>
        <w:spacing w:before="80" w:after="20"/>
        <w:jc w:val="center"/>
      </w:pPr>
      <w:r>
        <w:rPr>
          <w:b/>
          <w:sz w:val="24"/>
        </w:rPr>
        <w:t>Askar Nurym</w:t>
      </w:r>
    </w:p>
    <w:p>
      <w:pPr>
        <w:spacing w:before="0" w:after="80"/>
        <w:jc w:val="center"/>
      </w:pPr>
      <w:r>
        <w:rPr>
          <w:i/>
          <w:sz w:val="21"/>
        </w:rPr>
        <w:t>Department of Computer Science and Engineering, Astana IT University, Astana, Kazakhstan</w:t>
      </w:r>
    </w:p>
    <w:p>
      <w:pPr>
        <w:spacing w:before="0" w:after="120"/>
        <w:jc w:val="center"/>
      </w:pPr>
      <w:r>
        <w:rPr>
          <w:sz w:val="20"/>
        </w:rPr>
        <w:t>Email: 251508@astanait.edu.kz | ORCID: 0009-0004-7492-9382</w:t>
      </w:r>
    </w:p>
    <w:p>
      <w:pPr>
        <w:spacing w:before="80" w:after="20"/>
        <w:jc w:val="center"/>
      </w:pPr>
      <w:r>
        <w:rPr>
          <w:b/>
          <w:sz w:val="24"/>
        </w:rPr>
        <w:t>Tamara Zhukabayeva</w:t>
      </w:r>
    </w:p>
    <w:p>
      <w:pPr>
        <w:spacing w:before="0" w:after="80"/>
        <w:jc w:val="center"/>
      </w:pPr>
      <w:r>
        <w:rPr>
          <w:i/>
          <w:sz w:val="21"/>
        </w:rPr>
        <w:t>PhD, Professor, School of Computer Science, Astana IT University, Astana, Kazakhstan</w:t>
      </w:r>
    </w:p>
    <w:p>
      <w:pPr>
        <w:spacing w:before="0" w:after="120"/>
        <w:jc w:val="center"/>
      </w:pPr>
      <w:r>
        <w:rPr>
          <w:sz w:val="20"/>
        </w:rPr>
        <w:t>Email: t.zhukabayeva@astanait.edu.kz | ORCID: 0000-0002-8611-3942</w:t>
      </w:r>
    </w:p>
    <w:p>
      <w:pPr>
        <w:spacing w:before="160" w:after="60"/>
      </w:pPr>
      <w:r>
        <w:rPr>
          <w:b/>
          <w:sz w:val="24"/>
        </w:rPr>
        <w:t>Abstract</w:t>
      </w:r>
    </w:p>
    <w:p>
      <w:pPr>
        <w:spacing w:before="0" w:after="80" w:line="240" w:lineRule="auto"/>
        <w:jc w:val="both"/>
      </w:pPr>
      <w:r>
        <w:rPr>
          <w:rFonts w:ascii="Times New Roman" w:hAnsi="Times New Roman"/>
          <w:sz w:val="24"/>
        </w:rPr>
        <w:t>Multimedia video lectures have become the dominant pedagogical medium in higher education. However, current automated subtitle generation workflows produce cumulative temporal desynchronization (100–300 ms), disrupting the cognitive reading cadence of deaf and hard-of-hearing (DHH), second-language (L2), and neurodivergent learners. This study proposes an offline, two-tier hierarchical forced alignment architecture combining transformer-based automatic speech recognition (OpenAI Whisper Large-v3 INT8), bounded macro-segmentation via Dynamic Time Warping (DTW) with contextual overlap padding, and Montreal Forced Aligner (Kaldi GMM-HMM) phonetic acoustic modeling. The architecture is integrated with an invertible token-span normalization contract to reconcile acoustic pronunciation lexicons with verbatim on-screen subtitle formatting. Empirical evaluation on the DARPA/NIST TIMIT Core Test benchmark demonstrates that the proposed hybrid method achieves a mean word absolute error (Word MAE) of 11.7 ms (95% CI: [11.2, 11.9] ms) and a mean phone absolute error (Phone MAE) of 12.9 ms, reaching 100.0% accuracy within the 20 ms human phonetic annotator noise ceiling (Acc@20ms) and 100.0% within the 50 ms broadcast imperceptibility window (Acc@50ms). Non-parametric paired Wilcoxon signed-rank testing confirms statistically significant superiority over baseline Whisper timestamps (W = 0.0, p = 1.68e-12, Cliff's delta = +1.00) and connectionist temporal classification (W = 8.0, p = 2.42e-12, Cliff's delta = +0.94). The complete pipeline executes with linear memory complexity O(N), maintaining a Real-Time Factor (RTF) of 0.015 and a peak VRAM footprint of 1.85 GB, ensuring fully private execution on standard student laptops. Bimodal exports directly comply with W3C WCAG 2.1 Media Accessibility Guidelines and WebVTT karaoke rendering for university Learning Management Systems.</w:t>
      </w:r>
    </w:p>
    <w:p>
      <w:pPr>
        <w:spacing w:before="80" w:after="200"/>
        <w:ind w:left="454" w:right="454"/>
      </w:pPr>
      <w:r>
        <w:rPr>
          <w:rFonts w:ascii="Times New Roman" w:hAnsi="Times New Roman"/>
          <w:b/>
          <w:sz w:val="22"/>
        </w:rPr>
        <w:t>Keywords:</w:t>
      </w:r>
      <w:r>
        <w:rPr>
          <w:rFonts w:ascii="Times New Roman" w:hAnsi="Times New Roman"/>
          <w:sz w:val="22"/>
        </w:rPr>
        <w:t xml:space="preserve"> Automatic speech recognition, forced alignment, dynamic time warping, educational accessibility, Whisper, Montreal Forced Aligner, WebVTT, cognitive load theory.</w:t>
      </w:r>
    </w:p>
    <w:p>
      <w:pPr>
        <w:spacing w:before="240" w:after="80"/>
      </w:pPr>
      <w:r>
        <w:rPr>
          <w:b/>
          <w:sz w:val="24"/>
        </w:rPr>
        <w:t>1. Introduction</w:t>
      </w:r>
    </w:p>
    <w:p>
      <w:pPr>
        <w:spacing w:before="0" w:after="80" w:line="240" w:lineRule="auto"/>
        <w:jc w:val="both"/>
      </w:pPr>
      <w:r>
        <w:rPr>
          <w:rFonts w:ascii="Times New Roman" w:hAnsi="Times New Roman"/>
          <w:sz w:val="24"/>
        </w:rPr>
        <w:t>The rapid transition of higher education institutions toward digital, blended, and asynchronous learning environments has positioned recorded video lectures as the primary medium of instructional delivery [1, 2]. Educational multimedia repositories in modern university Learning Management Systems (LMS), such as Moodle and Canvas, host thousands of hours of academic video content. While recorded media offers unprecedented spatial and temporal flexibility for students, it presents formidable accessibility barriers for diverse learner populations [3]. Specifically, Deaf and Hard-of-Hearing (DHH) students, individuals with auditory processing disorders, neurodivergent learners (including those diagnosed with attention-deficit/hyperactivity disorder and dyslexia), and second-language (L2) international students rely heavily on synchronized text captions to comprehend academic speech [4, 5].</w:t>
      </w:r>
    </w:p>
    <w:p>
      <w:pPr>
        <w:spacing w:before="0" w:after="80" w:line="240" w:lineRule="auto"/>
        <w:jc w:val="both"/>
      </w:pPr>
      <w:r>
        <w:rPr>
          <w:rFonts w:ascii="Times New Roman" w:hAnsi="Times New Roman"/>
          <w:sz w:val="24"/>
        </w:rPr>
        <w:t>Recognizing this fundamental educational equity mandate, international standards—most prominently the World Wide Web Consortium (W3C) Web Content Accessibility Guidelines (WCAG 2.1 / 2.2, Guideline 1.2 «Time-based Media»)—stipulate that synchronized captions must accompany all prerecorded multimedia learning content [6]. However, the practical realization of captioning in higher education faces a critical trade-off between human labor costs and automated transcription accuracy. Manual transcription and temporal spotting by professional stenographers require between 5 and 10 hours of human effort per hour of lecture audio, creating an unsustainable financial bottleneck for public universities [7].</w:t>
      </w:r>
    </w:p>
    <w:p>
      <w:pPr>
        <w:spacing w:before="0" w:after="80" w:line="240" w:lineRule="auto"/>
        <w:jc w:val="both"/>
      </w:pPr>
      <w:r>
        <w:rPr>
          <w:rFonts w:ascii="Times New Roman" w:hAnsi="Times New Roman"/>
          <w:sz w:val="24"/>
        </w:rPr>
        <w:t xml:space="preserve">Consequently, academic institutions have widely adopted deep learning-based Automatic Speech Recognition (ASR) engines, predominantly OpenAI Whisper and its optimized CTranslate2 derivatives, to generate automated lecture transcripts [8, 9]. Although modern end-to-end encoder-decoder transformer models have dramatically reduced Word Error Rates (WER &lt; 8% on academic lectures), they suffer from a fundamental, systemic flaw: </w:t>
      </w:r>
      <w:r>
        <w:rPr>
          <w:rFonts w:ascii="Times New Roman" w:hAnsi="Times New Roman"/>
          <w:b/>
          <w:sz w:val="24"/>
        </w:rPr>
        <w:t>temporal desynchronization and cumulative timestamp blurring</w:t>
      </w:r>
      <w:r>
        <w:rPr>
          <w:rFonts w:ascii="Times New Roman" w:hAnsi="Times New Roman"/>
          <w:sz w:val="24"/>
        </w:rPr>
        <w:t xml:space="preserve"> [10]. Whisper's internal word-level timestamps, derived from cross-attention weight matrices, exhibit an average temporal uncertainty of 100–300 ms [11]. On long, continuous recordings characterized by acoustic reverberation, disfluencies, repetitions, and natural pauses, attention-based heuristics accumulate severe timing drift [12].</w:t>
      </w:r>
    </w:p>
    <w:p>
      <w:pPr>
        <w:spacing w:before="0" w:after="80" w:line="240" w:lineRule="auto"/>
        <w:jc w:val="both"/>
      </w:pPr>
      <w:r>
        <w:rPr>
          <w:rFonts w:ascii="Times New Roman" w:hAnsi="Times New Roman"/>
          <w:sz w:val="24"/>
        </w:rPr>
        <w:t xml:space="preserve">In educational multimedia learning, temporal asynchrony between auditory narration and visual subtitle text is not merely an aesthetic annoyance; it is a direct cognitive impediment. According to Sweller's Cognitive Load Theory (CLT) [13] and Mayer's Cognitive Theory of Multimedia Learning [14], human working memory processes auditory and visual channels through separate cognitive sub-systems with strictly bounded capacity. Under Mayer's </w:t>
      </w:r>
      <w:r>
        <w:rPr>
          <w:rFonts w:ascii="Times New Roman" w:hAnsi="Times New Roman"/>
          <w:b/>
          <w:sz w:val="24"/>
        </w:rPr>
        <w:t>Temporal Contiguity Principle</w:t>
      </w:r>
      <w:r>
        <w:rPr>
          <w:rFonts w:ascii="Times New Roman" w:hAnsi="Times New Roman"/>
          <w:sz w:val="24"/>
        </w:rPr>
        <w:t xml:space="preserve"> [15], instructional effectiveness requires verbal narration and printed text to be presented simultaneously in time. When subtitles lead or lag speech by more than 100 ms, the learner's cognitive architecture experiences the </w:t>
      </w:r>
      <w:r>
        <w:rPr>
          <w:rFonts w:ascii="Times New Roman" w:hAnsi="Times New Roman"/>
          <w:b/>
          <w:sz w:val="24"/>
        </w:rPr>
        <w:t>Split-Attention Effect</w:t>
      </w:r>
      <w:r>
        <w:rPr>
          <w:rFonts w:ascii="Times New Roman" w:hAnsi="Times New Roman"/>
          <w:sz w:val="24"/>
        </w:rPr>
        <w:t xml:space="preserve"> [16]. Eye-tracking studies in multimedia comprehension demonstrate that temporal asynchrony disrupts predictive eye saccades, inducing compensatory regressive fixations, increasing pupil dilation (PCPD), and elevating extraneous cognitive load at the expense of germane conceptual learning [17, 18].</w:t>
      </w:r>
    </w:p>
    <w:p>
      <w:pPr>
        <w:spacing w:before="0" w:after="80" w:line="240" w:lineRule="auto"/>
        <w:jc w:val="both"/>
      </w:pPr>
      <w:r>
        <w:rPr>
          <w:rFonts w:ascii="Times New Roman" w:hAnsi="Times New Roman"/>
          <w:sz w:val="24"/>
        </w:rPr>
        <w:t xml:space="preserve">To restore strict temporal synchronization, speech science employs </w:t>
      </w:r>
      <w:r>
        <w:rPr>
          <w:rFonts w:ascii="Times New Roman" w:hAnsi="Times New Roman"/>
          <w:b/>
          <w:sz w:val="24"/>
        </w:rPr>
        <w:t>Forced Alignment</w:t>
      </w:r>
      <w:r>
        <w:rPr>
          <w:rFonts w:ascii="Times New Roman" w:hAnsi="Times New Roman"/>
          <w:sz w:val="24"/>
        </w:rPr>
        <w:t>—the task of taking an existing verbatim text transcript and computing the exact acoustic onset and offset timestamps for every spoken word and phoneme [19]. The academic gold standard in phonetic forced alignment is the Montreal Forced Aligner (MFA), an open-source framework leveraging Hidden Markov Models with Gaussian Mixture Model emission densities (GMM-HMM) and triphone acoustic clustering compiled over Kaldi C++ binaries [20]. While MFA achieves sub-phonemic precision, its classical monolithic architecture requires unsegmented audio files and exact matching lexical transcripts. When deployed on uncurated, long-form educational lectures (15–60 minutes), MFA encounters quadratic memory scaling, Out-Of-Vocabulary (OOV) phonetic lookup crashes on technical jargon, and multi-minute subprocess startup latencies [21].</w:t>
      </w:r>
    </w:p>
    <w:p>
      <w:pPr>
        <w:spacing w:before="0" w:after="80" w:line="240" w:lineRule="auto"/>
        <w:jc w:val="both"/>
      </w:pPr>
      <w:r>
        <w:rPr>
          <w:rFonts w:ascii="Times New Roman" w:hAnsi="Times New Roman"/>
          <w:sz w:val="24"/>
        </w:rPr>
        <w:t xml:space="preserve">This paper resolves this computational and pedagogical bottleneck by developing a lightweight, offline, hierarchical synchronization method. The proposed system, formalized as the </w:t>
      </w:r>
      <w:r>
        <w:rPr>
          <w:rFonts w:ascii="Times New Roman" w:hAnsi="Times New Roman"/>
          <w:b/>
          <w:sz w:val="24"/>
        </w:rPr>
        <w:t>Local Subtitle Alignment Workbench</w:t>
      </w:r>
      <w:r>
        <w:rPr>
          <w:rFonts w:ascii="Times New Roman" w:hAnsi="Times New Roman"/>
          <w:sz w:val="24"/>
        </w:rPr>
        <w:t>, bridges end-to-end transformer ASR with sub-phonemic GMM-HMM acoustic modeling through bounded Dynamic Time Warping (DTW) and voice-activity-anchored macro-chunking. The entire architecture is engineered to operate on consumer-grade student workstation hardware (NVIDIA GeForce RTX 3050 Laptop GPU, 4 GB VRAM ceiling) without transmitting sensitive educational data to commercial cloud services.</w:t>
      </w:r>
    </w:p>
    <w:p>
      <w:pPr>
        <w:spacing w:before="0" w:after="80" w:line="240" w:lineRule="auto"/>
        <w:jc w:val="both"/>
      </w:pPr>
      <w:r>
        <w:rPr>
          <w:rFonts w:ascii="Times New Roman" w:hAnsi="Times New Roman"/>
          <w:sz w:val="24"/>
        </w:rPr>
        <w:t>The remainder of this article is structured as follows. Section 2 reviews related work in speech recognition, forced alignment, and psychoacoustic synchronization thresholds. Section 3 formalizes the aim and three research questions of the study. Section 4 presents the proposed hierarchical system architecture, mathematical formulations, and experimental corpora. Section 5 details empirical benchmark results on reference datasets. Section 6 provides a critical discussion of findings, statistical significance, and threats to validity. Section 7 concludes the paper and outlines practical deployment within university learning platforms.</w:t>
      </w:r>
    </w:p>
    <w:p>
      <w:pPr>
        <w:spacing w:before="240" w:after="80"/>
      </w:pPr>
      <w:r>
        <w:rPr>
          <w:b/>
          <w:sz w:val="24"/>
        </w:rPr>
        <w:t>2. Literature Review and Problem Statement</w:t>
      </w:r>
    </w:p>
    <w:p>
      <w:pPr>
        <w:spacing w:before="160" w:after="60"/>
      </w:pPr>
      <w:r>
        <w:rPr>
          <w:b/>
          <w:sz w:val="24"/>
        </w:rPr>
        <w:t>2.1 The Evolution of Automatic Speech Recognition in Education</w:t>
      </w:r>
    </w:p>
    <w:p>
      <w:pPr>
        <w:spacing w:before="0" w:after="80" w:line="240" w:lineRule="auto"/>
        <w:jc w:val="both"/>
      </w:pPr>
      <w:r>
        <w:rPr>
          <w:rFonts w:ascii="Times New Roman" w:hAnsi="Times New Roman"/>
          <w:sz w:val="24"/>
        </w:rPr>
        <w:t>The trajectory of Automatic Speech Recognition (ASR) over the past two decades transitioned from statistical acoustic-language models (HMM-GMM) to Connectionist Temporal Classification (CTC) neural networks [22], Recurrent Neural Network Transducers (RNN-T) [23], and fully autoregressive encoder-decoder Transformers [8]. The introduction of OpenAI Whisper by Radford et al. [8] represented a paradigm shift in zero-shot robustness. Trained on 680,000 hours of weakly supervised multilingual audio, Whisper achieves state-of-the-art transcription robustness across diverse acoustic environments, ambient noise, and regional accents.</w:t>
      </w:r>
    </w:p>
    <w:p>
      <w:pPr>
        <w:spacing w:before="0" w:after="80" w:line="240" w:lineRule="auto"/>
        <w:jc w:val="both"/>
      </w:pPr>
      <w:r>
        <w:rPr>
          <w:rFonts w:ascii="Times New Roman" w:hAnsi="Times New Roman"/>
          <w:sz w:val="24"/>
        </w:rPr>
        <w:t>In the domain of educational technology, recent studies have demonstrated the high utility of Whisper for automated lecture transcription. Malakul and Park [24] observed that automated subtitling significantly enhances lecture comprehension for secondary and tertiary students, particularly when processing complex academic terminology. However, multiple investigations have identified that Whisper's temporal localization capability does not match its linguistic transcription fidelity [11, 25]. Wagner et al. [25] analyzed the cross-attention mechanism in Whisper and demonstrated that attention probability distributions across encoder frames are intrinsically diffuse: because the self-attention heads optimize for semantic token sequence likelihood rather than acoustic boundary sharpness, predicted word boundaries frequently smear across 150–250 ms. On educational recordings with lecturer pauses, slide transitions, or room reverberation (</w:t>
      </w:r>
      <w:r>
        <w:rPr>
          <w:rFonts w:ascii="Cambria Math" w:hAnsi="Cambria Math"/>
          <w:i/>
          <w:sz w:val="24"/>
        </w:rPr>
        <w:t>RT_{60} &gt; 0.5</w:t>
      </w:r>
      <w:r>
        <w:rPr>
          <w:rFonts w:ascii="Times New Roman" w:hAnsi="Times New Roman"/>
          <w:sz w:val="24"/>
        </w:rPr>
        <w:t xml:space="preserve"> s), Whisper decoders exhibit autoregressive repetition loops, timestamp hallucinations, and cumulative clock drift [10, 12].</w:t>
      </w:r>
    </w:p>
    <w:p>
      <w:pPr>
        <w:spacing w:before="160" w:after="60"/>
      </w:pPr>
      <w:r>
        <w:rPr>
          <w:b/>
          <w:sz w:val="24"/>
        </w:rPr>
        <w:t>2.2 Forced Alignment Architectures: GMM-HMM vs. CTC Trellis</w:t>
      </w:r>
    </w:p>
    <w:p>
      <w:pPr>
        <w:spacing w:before="0" w:after="80" w:line="240" w:lineRule="auto"/>
        <w:jc w:val="both"/>
      </w:pPr>
      <w:r>
        <w:rPr>
          <w:rFonts w:ascii="Times New Roman" w:hAnsi="Times New Roman"/>
          <w:sz w:val="24"/>
        </w:rPr>
        <w:t>To overcome ASR timestamp inaccuracy, speech processing pipelines incorporate secondary forced alignment modules. Two primary algorithmic paradigms dominate the literature:</w:t>
      </w:r>
    </w:p>
    <w:p>
      <w:pPr>
        <w:spacing w:before="0" w:after="80" w:line="240" w:lineRule="auto"/>
        <w:jc w:val="both"/>
      </w:pPr>
      <w:r>
        <w:rPr>
          <w:rFonts w:ascii="Times New Roman" w:hAnsi="Times New Roman"/>
          <w:sz w:val="24"/>
        </w:rPr>
        <w:t xml:space="preserve">1. </w:t>
      </w:r>
      <w:r>
        <w:rPr>
          <w:rFonts w:ascii="Times New Roman" w:hAnsi="Times New Roman"/>
          <w:b/>
          <w:sz w:val="24"/>
        </w:rPr>
        <w:t>Acoustic GMM-HMM Forced Alignment (Montreal Forced Aligner):</w:t>
      </w:r>
      <w:r>
        <w:rPr>
          <w:rFonts w:ascii="Times New Roman" w:hAnsi="Times New Roman"/>
          <w:sz w:val="24"/>
        </w:rPr>
        <w:t xml:space="preserve"> Developed by McAuliffe et al. [20], MFA combines Kaldi C++ acoustic modeling binaries (</w:t>
      </w:r>
      <w:r>
        <w:rPr>
          <w:rFonts w:ascii="Consolas" w:hAnsi="Consolas"/>
          <w:sz w:val="21"/>
        </w:rPr>
        <w:t>compute-mfcc-feats</w:t>
      </w:r>
      <w:r>
        <w:rPr>
          <w:rFonts w:ascii="Times New Roman" w:hAnsi="Times New Roman"/>
          <w:sz w:val="24"/>
        </w:rPr>
        <w:t xml:space="preserve">, </w:t>
      </w:r>
      <w:r>
        <w:rPr>
          <w:rFonts w:ascii="Consolas" w:hAnsi="Consolas"/>
          <w:sz w:val="21"/>
        </w:rPr>
        <w:t>compile-train-graphs</w:t>
      </w:r>
      <w:r>
        <w:rPr>
          <w:rFonts w:ascii="Times New Roman" w:hAnsi="Times New Roman"/>
          <w:sz w:val="24"/>
        </w:rPr>
        <w:t xml:space="preserve">, </w:t>
      </w:r>
      <w:r>
        <w:rPr>
          <w:rFonts w:ascii="Consolas" w:hAnsi="Consolas"/>
          <w:sz w:val="21"/>
        </w:rPr>
        <w:t>gmm-align-compiled</w:t>
      </w:r>
      <w:r>
        <w:rPr>
          <w:rFonts w:ascii="Times New Roman" w:hAnsi="Times New Roman"/>
          <w:sz w:val="24"/>
        </w:rPr>
        <w:t xml:space="preserve">) with pronunciation dictionaries such as the Carnegie Mellon University Pronouncing Dictionary (CMUDict, </w:t>
      </w:r>
      <w:r>
        <w:rPr>
          <w:rFonts w:ascii="Cambria Math" w:hAnsi="Cambria Math"/>
          <w:i/>
          <w:sz w:val="24"/>
        </w:rPr>
        <w:t>&gt;134,000</w:t>
      </w:r>
      <w:r>
        <w:rPr>
          <w:rFonts w:ascii="Times New Roman" w:hAnsi="Times New Roman"/>
          <w:sz w:val="24"/>
        </w:rPr>
        <w:t xml:space="preserve"> lexical entries in ARPAbet format). By modeling each phoneme through a 3-state HMM representing the acoustic onset, nucleus, and offset transitions, MFA computes maximum-likelihood Viterbi state alignments at a 10 ms feature resolution. In comparative phonetic evaluations, MFA consistently outperforms neural CTC baselines in boundary sharpness on studio speech [26]. However, MFA was designed as a corpus-level research tool for linguistic phoneticians. Spawning MFA per short speech segment incurs 10–15 seconds of process initialization latency (loading SQLite lexicon caches, spawning Python subprocesses, initializing Kaldi graphs), rendering loop-based chunking computationally prohibitive [27].</w:t>
      </w:r>
    </w:p>
    <w:p>
      <w:pPr>
        <w:spacing w:before="0" w:after="80" w:line="240" w:lineRule="auto"/>
        <w:jc w:val="both"/>
      </w:pPr>
      <w:r>
        <w:rPr>
          <w:rFonts w:ascii="Times New Roman" w:hAnsi="Times New Roman"/>
          <w:sz w:val="24"/>
        </w:rPr>
        <w:t xml:space="preserve">2. </w:t>
      </w:r>
      <w:r>
        <w:rPr>
          <w:rFonts w:ascii="Times New Roman" w:hAnsi="Times New Roman"/>
          <w:b/>
          <w:sz w:val="24"/>
        </w:rPr>
        <w:t>Neural CTC Trellis Alignment (`torchaudio MMS_FA` / WhisperX):</w:t>
      </w:r>
      <w:r>
        <w:rPr>
          <w:rFonts w:ascii="Times New Roman" w:hAnsi="Times New Roman"/>
          <w:sz w:val="24"/>
        </w:rPr>
        <w:t xml:space="preserve"> Connectionist Temporal Classification, introduced by Graves et al. [22], aligns input feature sequences </w:t>
      </w:r>
      <w:r>
        <w:rPr>
          <w:rFonts w:ascii="Cambria Math" w:hAnsi="Cambria Math"/>
          <w:i/>
          <w:sz w:val="24"/>
        </w:rPr>
        <w:t>X_{1:T}</w:t>
      </w:r>
      <w:r>
        <w:rPr>
          <w:rFonts w:ascii="Times New Roman" w:hAnsi="Times New Roman"/>
          <w:sz w:val="24"/>
        </w:rPr>
        <w:t xml:space="preserve"> with target label sequences </w:t>
      </w:r>
      <w:r>
        <w:rPr>
          <w:rFonts w:ascii="Cambria Math" w:hAnsi="Cambria Math"/>
          <w:i/>
          <w:sz w:val="24"/>
        </w:rPr>
        <w:t>Y_{1:U}</w:t>
      </w:r>
      <w:r>
        <w:rPr>
          <w:rFonts w:ascii="Times New Roman" w:hAnsi="Times New Roman"/>
          <w:sz w:val="24"/>
        </w:rPr>
        <w:t xml:space="preserve"> by summing over all valid alignments containing blank tokens </w:t>
      </w:r>
      <w:r>
        <w:rPr>
          <w:rFonts w:ascii="Cambria Math" w:hAnsi="Cambria Math"/>
          <w:i/>
          <w:sz w:val="24"/>
        </w:rPr>
        <w:t>\epsilon</w:t>
      </w:r>
      <w:r>
        <w:rPr>
          <w:rFonts w:ascii="Times New Roman" w:hAnsi="Times New Roman"/>
          <w:sz w:val="24"/>
        </w:rPr>
        <w:t xml:space="preserve">. Bain et al. [11] proposed WhisperX, which feeds Whisper's text output into a fine-tuned Wav2Vec2/MMS CTC acoustic model. While CTC Trellis alignment executes rapidly in-process using dynamic programming, it possesses an intrinsic structural limitation: </w:t>
      </w:r>
      <w:r>
        <w:rPr>
          <w:rFonts w:ascii="Times New Roman" w:hAnsi="Times New Roman"/>
          <w:b/>
          <w:sz w:val="24"/>
        </w:rPr>
        <w:t>frame discretization stride</w:t>
      </w:r>
      <w:r>
        <w:rPr>
          <w:rFonts w:ascii="Times New Roman" w:hAnsi="Times New Roman"/>
          <w:sz w:val="24"/>
        </w:rPr>
        <w:t>. The convolutional feature extractor of Wav2Vec2 downsamples 16 kHz audio by a stride factor of 320 (</w:t>
      </w:r>
      <w:r>
        <w:rPr>
          <w:rFonts w:ascii="Cambria Math" w:hAnsi="Cambria Math"/>
          <w:i/>
          <w:sz w:val="24"/>
        </w:rPr>
        <w:t>16000 / 320 = 50</w:t>
      </w:r>
      <w:r>
        <w:rPr>
          <w:rFonts w:ascii="Times New Roman" w:hAnsi="Times New Roman"/>
          <w:sz w:val="24"/>
        </w:rPr>
        <w:t xml:space="preserve"> Hz). Consequently, each discrete emission frame represents exactly </w:t>
      </w:r>
      <w:r>
        <w:rPr>
          <w:rFonts w:ascii="Times New Roman" w:hAnsi="Times New Roman"/>
          <w:b/>
          <w:sz w:val="24"/>
        </w:rPr>
        <w:t>20.0 ms</w:t>
      </w:r>
      <w:r>
        <w:rPr>
          <w:rFonts w:ascii="Times New Roman" w:hAnsi="Times New Roman"/>
          <w:sz w:val="24"/>
        </w:rPr>
        <w:t>. Without continuous sub-frame interpolation, CTC Trellis boundary placements are discretized into 20 ms increments, preventing reliable convergence within sub-20ms phonetic noise ceilings on spontaneous speech [28].</w:t>
      </w:r>
    </w:p>
    <w:p>
      <w:pPr>
        <w:spacing w:before="160" w:after="60"/>
      </w:pPr>
      <w:r>
        <w:rPr>
          <w:b/>
          <w:sz w:val="24"/>
        </w:rPr>
        <w:t>2.3 Psychoacoustics, Audiovisual Standards, and the Human Annotator Ceiling</w:t>
      </w:r>
    </w:p>
    <w:p>
      <w:pPr>
        <w:spacing w:before="0" w:after="80" w:line="240" w:lineRule="auto"/>
        <w:jc w:val="both"/>
      </w:pPr>
      <w:r>
        <w:rPr>
          <w:rFonts w:ascii="Times New Roman" w:hAnsi="Times New Roman"/>
          <w:sz w:val="24"/>
        </w:rPr>
        <w:t>To establish meaningful quantitative benchmarks for subtitle alignment, engineering metrics must be anchored in human psychoacoustic perception and empirical ground-truth variance:</w:t>
      </w:r>
    </w:p>
    <w:p>
      <w:pPr>
        <w:spacing w:before="0" w:after="80" w:line="240" w:lineRule="auto"/>
        <w:jc w:val="both"/>
      </w:pPr>
      <w:r>
        <w:rPr>
          <w:rFonts w:ascii="Times New Roman" w:hAnsi="Times New Roman"/>
          <w:sz w:val="24"/>
        </w:rPr>
        <w:t xml:space="preserve">1. </w:t>
      </w:r>
      <w:r>
        <w:rPr>
          <w:rFonts w:ascii="Times New Roman" w:hAnsi="Times New Roman"/>
          <w:b/>
          <w:sz w:val="24"/>
        </w:rPr>
        <w:t>The Human Annotator Noise Floor ($\le 20$ ms):</w:t>
      </w:r>
      <w:r>
        <w:rPr>
          <w:rFonts w:ascii="Times New Roman" w:hAnsi="Times New Roman"/>
          <w:sz w:val="24"/>
        </w:rPr>
        <w:t xml:space="preserve"> A critical methodological finding in empirical phonetics is that manual ground-truth annotations (such as Praat TextGrids created by human phoneticians on TIMIT or Buckeye) are not mathematical absolutes. In pioneering studies on phonetic segmentation consistency, Raymond et al. [29] and Wesenick and Kipp [30] demonstrated that the inter-annotator standard deviation between trained human transcribers is:</w:t>
      </w:r>
    </w:p>
    <w:p>
      <w:pPr>
        <w:spacing w:before="0" w:after="80" w:line="240" w:lineRule="auto"/>
        <w:jc w:val="both"/>
      </w:pPr>
      <w:r>
        <w:rPr>
          <w:rFonts w:ascii="Cambria Math" w:hAnsi="Cambria Math"/>
          <w:i/>
          <w:sz w:val="24"/>
        </w:rPr>
      </w:r>
      <w:r>
        <w:rPr>
          <w:rFonts w:ascii="Cambria Math" w:hAnsi="Cambria Math"/>
          <w:i/>
          <w:sz w:val="24"/>
        </w:rPr>
        <w:t>\sigma_{\text{annotator}} \approx 10\text{ -- }16\text{ ms}</w:t>
      </w:r>
      <w:r>
        <w:rPr>
          <w:rFonts w:ascii="Cambria Math" w:hAnsi="Cambria Math"/>
          <w:i/>
          <w:sz w:val="24"/>
        </w:rPr>
      </w:r>
    </w:p>
    <w:p>
      <w:pPr>
        <w:spacing w:before="0" w:after="80" w:line="240" w:lineRule="auto"/>
        <w:jc w:val="both"/>
      </w:pPr>
      <w:r>
        <w:rPr>
          <w:rFonts w:ascii="Times New Roman" w:hAnsi="Times New Roman"/>
          <w:sz w:val="24"/>
        </w:rPr>
        <w:t>While human agreement for abrupt stop consonant bursts (</w:t>
      </w:r>
      <w:r>
        <w:rPr>
          <w:rFonts w:ascii="Consolas" w:hAnsi="Consolas"/>
          <w:sz w:val="21"/>
        </w:rPr>
        <w:t>/p/, /t/, /k/</w:t>
      </w:r>
      <w:r>
        <w:rPr>
          <w:rFonts w:ascii="Times New Roman" w:hAnsi="Times New Roman"/>
          <w:sz w:val="24"/>
        </w:rPr>
        <w:t>) is 5–8 ms, agreement drops to 15–35 ms for continuous vowel-to-glide transitions (</w:t>
      </w:r>
      <w:r>
        <w:rPr>
          <w:rFonts w:ascii="Consolas" w:hAnsi="Consolas"/>
          <w:sz w:val="21"/>
        </w:rPr>
        <w:t>/r/, /l/, /w/</w:t>
      </w:r>
      <w:r>
        <w:rPr>
          <w:rFonts w:ascii="Times New Roman" w:hAnsi="Times New Roman"/>
          <w:sz w:val="24"/>
        </w:rPr>
        <w:t xml:space="preserve">) due to coarticulation. Human-to-human agreement reaches 93–96% within a 20 ms tolerance window, but collapses to 65–75% within a 10 ms window. Therefore, in speech science, </w:t>
      </w:r>
      <w:r>
        <w:rPr>
          <w:rFonts w:ascii="Times New Roman" w:hAnsi="Times New Roman"/>
          <w:b/>
          <w:sz w:val="24"/>
        </w:rPr>
        <w:t>a target error threshold of $\le 20$ ms represents the human-equivalent noise ceiling</w:t>
      </w:r>
      <w:r>
        <w:rPr>
          <w:rFonts w:ascii="Times New Roman" w:hAnsi="Times New Roman"/>
          <w:sz w:val="24"/>
        </w:rPr>
        <w:t xml:space="preserve">. Pushing automated algorithms to satisfy </w:t>
      </w:r>
      <w:r>
        <w:rPr>
          <w:rFonts w:ascii="Cambria Math" w:hAnsi="Cambria Math"/>
          <w:i/>
          <w:sz w:val="24"/>
        </w:rPr>
        <w:t>&lt;5</w:t>
      </w:r>
      <w:r>
        <w:rPr>
          <w:rFonts w:ascii="Times New Roman" w:hAnsi="Times New Roman"/>
          <w:sz w:val="24"/>
        </w:rPr>
        <w:t xml:space="preserve"> ms on manual benchmarks is scientifically flawed, as it fits the algorithm to random annotator jitter [20, 29].</w:t>
      </w:r>
    </w:p>
    <w:p>
      <w:pPr>
        <w:spacing w:before="0" w:after="80" w:line="240" w:lineRule="auto"/>
        <w:jc w:val="both"/>
      </w:pPr>
      <w:r>
        <w:rPr>
          <w:rFonts w:ascii="Times New Roman" w:hAnsi="Times New Roman"/>
          <w:sz w:val="24"/>
        </w:rPr>
        <w:t xml:space="preserve">2. </w:t>
      </w:r>
      <w:r>
        <w:rPr>
          <w:rFonts w:ascii="Times New Roman" w:hAnsi="Times New Roman"/>
          <w:b/>
          <w:sz w:val="24"/>
        </w:rPr>
        <w:t>The Undetectable Broadcast Window ($\le 50$ ms):</w:t>
      </w:r>
      <w:r>
        <w:rPr>
          <w:rFonts w:ascii="Times New Roman" w:hAnsi="Times New Roman"/>
          <w:sz w:val="24"/>
        </w:rPr>
        <w:t xml:space="preserve"> International broadcasting standards established by the International Telecommunication Union (Recommendation ITU-R BT.1359-1 «Relative timing of sound and vision for broadcasting») [31] and the European Broadcasting Union (EBU Recommendation R37) [32] document that the human detectability threshold for audiovisual asynchrony is asymmetric: viewers begin detecting audio advance when sound leads picture by </w:t>
      </w:r>
      <w:r>
        <w:rPr>
          <w:rFonts w:ascii="Cambria Math" w:hAnsi="Cambria Math"/>
          <w:i/>
          <w:sz w:val="24"/>
        </w:rPr>
        <w:t>+45</w:t>
      </w:r>
      <w:r>
        <w:rPr>
          <w:rFonts w:ascii="Times New Roman" w:hAnsi="Times New Roman"/>
          <w:sz w:val="24"/>
        </w:rPr>
        <w:t xml:space="preserve"> ms, whereas audio delay is tolerated up to </w:t>
      </w:r>
      <w:r>
        <w:rPr>
          <w:rFonts w:ascii="Cambria Math" w:hAnsi="Cambria Math"/>
          <w:i/>
          <w:sz w:val="24"/>
        </w:rPr>
        <w:t>-125</w:t>
      </w:r>
      <w:r>
        <w:rPr>
          <w:rFonts w:ascii="Times New Roman" w:hAnsi="Times New Roman"/>
          <w:sz w:val="24"/>
        </w:rPr>
        <w:t xml:space="preserve"> ms. Inside the </w:t>
      </w:r>
      <w:r>
        <w:rPr>
          <w:rFonts w:ascii="Cambria Math" w:hAnsi="Cambria Math"/>
          <w:i/>
          <w:sz w:val="24"/>
        </w:rPr>
        <w:t>[-60, +40]</w:t>
      </w:r>
      <w:r>
        <w:rPr>
          <w:rFonts w:ascii="Times New Roman" w:hAnsi="Times New Roman"/>
          <w:sz w:val="24"/>
        </w:rPr>
        <w:t xml:space="preserve"> ms envelope, asynchrony is physiologically imperceptible under natural viewing conditions. For on-screen subtitles, an error bound of </w:t>
      </w:r>
      <w:r>
        <w:rPr>
          <w:rFonts w:ascii="Cambria Math" w:hAnsi="Cambria Math"/>
          <w:i/>
          <w:sz w:val="24"/>
        </w:rPr>
        <w:t>\le 50</w:t>
      </w:r>
      <w:r>
        <w:rPr>
          <w:rFonts w:ascii="Times New Roman" w:hAnsi="Times New Roman"/>
          <w:sz w:val="24"/>
        </w:rPr>
        <w:t xml:space="preserve"> ms guarantees that text transitions fall within 1–2 video refresh frames (33.3 ms at 30 fps; 40.0 ms at 25 fps), preventing visual flicker during saccadic eye landing [17, 33].</w:t>
      </w:r>
    </w:p>
    <w:p>
      <w:pPr>
        <w:spacing w:before="0" w:after="80" w:line="240" w:lineRule="auto"/>
        <w:jc w:val="both"/>
      </w:pPr>
      <w:r>
        <w:rPr>
          <w:rFonts w:ascii="Times New Roman" w:hAnsi="Times New Roman"/>
          <w:sz w:val="24"/>
        </w:rPr>
        <w:t xml:space="preserve">3. </w:t>
      </w:r>
      <w:r>
        <w:rPr>
          <w:rFonts w:ascii="Times New Roman" w:hAnsi="Times New Roman"/>
          <w:b/>
          <w:sz w:val="24"/>
        </w:rPr>
        <w:t>Cognitive Split-Attention Limit ($&gt;100$ ms):</w:t>
      </w:r>
      <w:r>
        <w:rPr>
          <w:rFonts w:ascii="Times New Roman" w:hAnsi="Times New Roman"/>
          <w:sz w:val="24"/>
        </w:rPr>
        <w:t xml:space="preserve"> In multimedia cognitive ergonomics, eye-tracking studies by Bisson et al. [17] and Perego et al. [18] prove that viewers execute predictive gaze fixations toward subtitle display zones approximately 100–200 ms before spoken word acoustic onset. When asynchrony exceeds 100–125 ms, the brain's Audiovisual Temporal Window of Integration (TWI) collapses [34, 35]. The learner must abort reading comprehension to cognitively resolve modal discrepancy, triggering extraneous cognitive load and memory decay [13, 14].</w:t>
      </w:r>
    </w:p>
    <w:p>
      <w:pPr>
        <w:spacing w:before="240" w:after="80"/>
      </w:pPr>
      <w:r>
        <w:rPr>
          <w:b/>
          <w:sz w:val="24"/>
        </w:rPr>
        <w:t>3. The Aim and Objectives of the Study</w:t>
      </w:r>
    </w:p>
    <w:p>
      <w:pPr>
        <w:spacing w:before="0" w:after="80" w:line="240" w:lineRule="auto"/>
        <w:jc w:val="both"/>
      </w:pPr>
      <w:r>
        <w:rPr>
          <w:rFonts w:ascii="Times New Roman" w:hAnsi="Times New Roman"/>
          <w:sz w:val="24"/>
        </w:rPr>
        <w:t xml:space="preserve">The overarching </w:t>
      </w:r>
      <w:r>
        <w:rPr>
          <w:rFonts w:ascii="Times New Roman" w:hAnsi="Times New Roman"/>
          <w:b/>
          <w:sz w:val="24"/>
        </w:rPr>
        <w:t>aim</w:t>
      </w:r>
      <w:r>
        <w:rPr>
          <w:rFonts w:ascii="Times New Roman" w:hAnsi="Times New Roman"/>
          <w:sz w:val="24"/>
        </w:rPr>
        <w:t xml:space="preserve"> of this research is to develop, validate, and benchmark a computationally efficient, local, hierarchical forced alignment algorithm that eliminates long-form temporal drift and synchronizes spoken lecture audio with textual subtitles at millisecond-level precision on standard educational hardware.</w:t>
      </w:r>
    </w:p>
    <w:p>
      <w:pPr>
        <w:spacing w:before="0" w:after="80" w:line="240" w:lineRule="auto"/>
        <w:jc w:val="both"/>
      </w:pPr>
      <w:r>
        <w:rPr>
          <w:rFonts w:ascii="Times New Roman" w:hAnsi="Times New Roman"/>
          <w:sz w:val="24"/>
        </w:rPr>
        <w:t>To achieve this aim, three specific research objectives are addressed:</w:t>
      </w:r>
    </w:p>
    <w:p>
      <w:pPr>
        <w:spacing w:before="0" w:after="80" w:line="240" w:lineRule="auto"/>
        <w:jc w:val="both"/>
      </w:pPr>
      <w:r>
        <w:rPr>
          <w:rFonts w:ascii="Times New Roman" w:hAnsi="Times New Roman"/>
          <w:sz w:val="24"/>
        </w:rPr>
        <w:t xml:space="preserve">1. </w:t>
      </w:r>
      <w:r>
        <w:rPr>
          <w:rFonts w:ascii="Times New Roman" w:hAnsi="Times New Roman"/>
          <w:b/>
          <w:sz w:val="24"/>
        </w:rPr>
        <w:t>Objective 1 (Algorithmic Formulation):</w:t>
      </w:r>
      <w:r>
        <w:rPr>
          <w:rFonts w:ascii="Times New Roman" w:hAnsi="Times New Roman"/>
          <w:sz w:val="24"/>
        </w:rPr>
        <w:t xml:space="preserve"> Design and implement a two-tier synchronization pipeline integrating Silero-VAD acoustic silence extraction, Faster-Whisper Large-v3 INT8 ASR, bounded banded Dynamic Time Warping (</w:t>
      </w:r>
      <w:r>
        <w:rPr>
          <w:rFonts w:ascii="Cambria Math" w:hAnsi="Cambria Math"/>
          <w:i/>
          <w:sz w:val="24"/>
        </w:rPr>
        <w:t>L \le 30</w:t>
      </w:r>
      <w:r>
        <w:rPr>
          <w:rFonts w:ascii="Times New Roman" w:hAnsi="Times New Roman"/>
          <w:sz w:val="24"/>
        </w:rPr>
        <w:t xml:space="preserve"> s, padding </w:t>
      </w:r>
      <w:r>
        <w:rPr>
          <w:rFonts w:ascii="Cambria Math" w:hAnsi="Cambria Math"/>
          <w:i/>
          <w:sz w:val="24"/>
        </w:rPr>
        <w:t>\pm 0.5</w:t>
      </w:r>
      <w:r>
        <w:rPr>
          <w:rFonts w:ascii="Times New Roman" w:hAnsi="Times New Roman"/>
          <w:sz w:val="24"/>
        </w:rPr>
        <w:t xml:space="preserve"> s), and Montreal Forced Aligner batch corpus staging with an in-process CTC Trellis fallback.</w:t>
      </w:r>
    </w:p>
    <w:p>
      <w:pPr>
        <w:spacing w:before="0" w:after="80" w:line="240" w:lineRule="auto"/>
        <w:jc w:val="both"/>
      </w:pPr>
      <w:r>
        <w:rPr>
          <w:rFonts w:ascii="Times New Roman" w:hAnsi="Times New Roman"/>
          <w:sz w:val="24"/>
        </w:rPr>
        <w:t xml:space="preserve">2. </w:t>
      </w:r>
      <w:r>
        <w:rPr>
          <w:rFonts w:ascii="Times New Roman" w:hAnsi="Times New Roman"/>
          <w:b/>
          <w:sz w:val="24"/>
        </w:rPr>
        <w:t>Objective 2 (Mathematical &amp; Contractual Integrity):</w:t>
      </w:r>
      <w:r>
        <w:rPr>
          <w:rFonts w:ascii="Times New Roman" w:hAnsi="Times New Roman"/>
          <w:sz w:val="24"/>
        </w:rPr>
        <w:t xml:space="preserve"> Formulate a reversible token-span normalization contract resolving non-bijective lexical mapping between verbatim on-screen subtitle strings and acoustic CMUDict phonetic sequences without losing original punctuation or text casing.</w:t>
      </w:r>
    </w:p>
    <w:p>
      <w:pPr>
        <w:spacing w:before="0" w:after="80" w:line="240" w:lineRule="auto"/>
        <w:jc w:val="both"/>
      </w:pPr>
      <w:r>
        <w:rPr>
          <w:rFonts w:ascii="Times New Roman" w:hAnsi="Times New Roman"/>
          <w:sz w:val="24"/>
        </w:rPr>
        <w:t xml:space="preserve">3. </w:t>
      </w:r>
      <w:r>
        <w:rPr>
          <w:rFonts w:ascii="Times New Roman" w:hAnsi="Times New Roman"/>
          <w:b/>
          <w:sz w:val="24"/>
        </w:rPr>
        <w:t>Objective 3 (Empirical Benchmarking &amp; Statistical Verification):</w:t>
      </w:r>
      <w:r>
        <w:rPr>
          <w:rFonts w:ascii="Times New Roman" w:hAnsi="Times New Roman"/>
          <w:sz w:val="24"/>
        </w:rPr>
        <w:t xml:space="preserve"> Conduct an exhaustive three-way ablation benchmark (Whisper Baseline vs. CTC Trellis vs. Proposed Hybrid) on the DARPA/NIST TIMIT Core Test standard, verifying that alignment accuracy satisfies the human noise ceiling (</w:t>
      </w:r>
      <w:r>
        <w:rPr>
          <w:rFonts w:ascii="Cambria Math" w:hAnsi="Cambria Math"/>
          <w:i/>
          <w:sz w:val="24"/>
        </w:rPr>
        <w:t>\text{Acc}@20\text{ms} \ge 85\%</w:t>
      </w:r>
      <w:r>
        <w:rPr>
          <w:rFonts w:ascii="Times New Roman" w:hAnsi="Times New Roman"/>
          <w:sz w:val="24"/>
        </w:rPr>
        <w:t>) and broadcast imperceptibility (</w:t>
      </w:r>
      <w:r>
        <w:rPr>
          <w:rFonts w:ascii="Cambria Math" w:hAnsi="Cambria Math"/>
          <w:i/>
          <w:sz w:val="24"/>
        </w:rPr>
        <w:t>\text{Acc}@50\text{ms} \ge 95\%</w:t>
      </w:r>
      <w:r>
        <w:rPr>
          <w:rFonts w:ascii="Times New Roman" w:hAnsi="Times New Roman"/>
          <w:sz w:val="24"/>
        </w:rPr>
        <w:t>) under paired non-parametric statistical significance (</w:t>
      </w:r>
      <w:r>
        <w:rPr>
          <w:rFonts w:ascii="Cambria Math" w:hAnsi="Cambria Math"/>
          <w:i/>
          <w:sz w:val="24"/>
        </w:rPr>
        <w:t>p &lt; 0.001</w:t>
      </w:r>
      <w:r>
        <w:rPr>
          <w:rFonts w:ascii="Times New Roman" w:hAnsi="Times New Roman"/>
          <w:sz w:val="24"/>
        </w:rPr>
        <w:t>).</w:t>
      </w:r>
    </w:p>
    <w:p>
      <w:pPr>
        <w:spacing w:before="240" w:after="80"/>
      </w:pPr>
      <w:r>
        <w:rPr>
          <w:b/>
          <w:sz w:val="24"/>
        </w:rPr>
        <w:t>4. Materials and Methods</w:t>
      </w:r>
    </w:p>
    <w:p>
      <w:pPr>
        <w:spacing w:before="160" w:after="60"/>
      </w:pPr>
      <w:r>
        <w:rPr>
          <w:b/>
          <w:sz w:val="24"/>
        </w:rPr>
        <w:t>4.1 System Topology and Sequential VRAM Lifecycle</w:t>
      </w:r>
    </w:p>
    <w:p>
      <w:pPr>
        <w:spacing w:before="0" w:after="80" w:line="240" w:lineRule="auto"/>
        <w:jc w:val="both"/>
      </w:pPr>
      <w:r>
        <w:rPr>
          <w:rFonts w:ascii="Times New Roman" w:hAnsi="Times New Roman"/>
          <w:sz w:val="24"/>
        </w:rPr>
        <w:t xml:space="preserve">The Local Subtitle Alignment Workbench is architected around a strict sequential dataflow pipeline executed under an explicit hardware budget (NVIDIA GeForce RTX 3050 Laptop GPU, 4.0 GB VRAM limit). Concurrent model allocation (Whisper + MFA + MMS_FA) on consumer hardware triggers CUDA Out-Of-Memory (OOM) exceptions. To guarantee deterministic stability, the pipeline enforces </w:t>
      </w:r>
      <w:r>
        <w:rPr>
          <w:rFonts w:ascii="Times New Roman" w:hAnsi="Times New Roman"/>
          <w:b/>
          <w:sz w:val="24"/>
        </w:rPr>
        <w:t>Sequential Lifecycle Management</w:t>
      </w:r>
      <w:r>
        <w:rPr>
          <w:rFonts w:ascii="Times New Roman" w:hAnsi="Times New Roman"/>
          <w:sz w:val="24"/>
        </w:rPr>
        <w:t>: each neural component is loaded lazily, evaluated, and immediately purged from GPU VRAM via garbage collection and explicit memory cache flushes (</w:t>
      </w:r>
      <w:r>
        <w:rPr>
          <w:rFonts w:ascii="Consolas" w:hAnsi="Consolas"/>
          <w:sz w:val="21"/>
        </w:rPr>
        <w:t>torch.cuda.empty_cache()</w:t>
      </w:r>
      <w:r>
        <w:rPr>
          <w:rFonts w:ascii="Times New Roman" w:hAnsi="Times New Roman"/>
          <w:sz w:val="24"/>
        </w:rPr>
        <w:t>) before downstream modules are initialized.</w:t>
      </w:r>
    </w:p>
    <w:p>
      <w:pPr>
        <w:spacing w:before="80" w:after="120"/>
        <w:ind w:left="454"/>
      </w:pPr>
      <w:r>
        <w:rPr>
          <w:rFonts w:ascii="Consolas" w:hAnsi="Consolas"/>
          <w:sz w:val="19"/>
        </w:rPr>
        <w:t xml:space="preserve">                           HIERARCHICAL SYSTEM DATAFLOW</w:t>
        <w:br/>
        <w:t>┌────────────────────────────────────────────────────────────────────────────────────────┐</w:t>
        <w:br/>
        <w:t>│                              STAGE 1: AUDIO INGESTION &amp; VAD                            │</w:t>
        <w:br/>
        <w:t>│  [16 kHz Mono PCM WAV] ──► [Silero-VAD Detector] ──► Acoustic Silence Intervals (&gt;=0.4s)│</w:t>
        <w:br/>
        <w:t>└───────────────────────────────────────────┬────────────────────────────────────────────┘</w:t>
        <w:br/>
        <w:t xml:space="preserve">                                            ▼</w:t>
        <w:br/>
        <w:t>┌────────────────────────────────────────────────────────────────────────────────────────┐</w:t>
        <w:br/>
        <w:t>│                              STAGE 2: ASR &amp; TEXT EXTRACTION                            │</w:t>
        <w:br/>
        <w:t>│  Faster-Whisper Large-v3 INT8 (GPU) ──► Initial Segments &amp; Words (VRAM Peak: 1.85 GB)  │</w:t>
        <w:br/>
        <w:t>│  ──► Eager VRAM Purge: del model; gc.collect(); torch.cuda.empty_cache() (VRAM: &lt;0.1 GB)│</w:t>
        <w:br/>
        <w:t>└───────────────────────────────────────────┬────────────────────────────────────────────┘</w:t>
        <w:br/>
        <w:t xml:space="preserve">                                            ▼</w:t>
        <w:br/>
        <w:t>┌────────────────────────────────────────────────────────────────────────────────────────┐</w:t>
        <w:br/>
        <w:t>│                       STAGE 3: REVERSIBLE TOKEN-SPAN NORMALIZATION                     │</w:t>
        <w:br/>
        <w:t>│  Verbatim Subtitle Text ──► Bijective Token-Span Mapper ──► CMUDict Acoustic Lexicon   │</w:t>
        <w:br/>
        <w:t>└───────────────────────────────────────────┬────────────────────────────────────────────┘</w:t>
        <w:br/>
        <w:t xml:space="preserve">                                            ▼</w:t>
        <w:br/>
        <w:t>┌────────────────────────────────────────────────────────────────────────────────────────┐</w:t>
        <w:br/>
        <w:t>│                        STAGE 4: MACRO-DTW &amp; BOUNDED CHUNKING                           │</w:t>
        <w:br/>
        <w:t>│  Partitioning (L &lt;= 30.0s, Overlap Pad = 0.5s) ──► Banded DTW (O(T*B) Linear Memory)   │</w:t>
        <w:br/>
        <w:t>└───────────────────────────────────────────┬────────────────────────────────────────────┘</w:t>
        <w:br/>
        <w:t xml:space="preserve">                                            ▼</w:t>
        <w:br/>
        <w:t>┌────────────────────────────────────────────────────────────────────────────────────────┐</w:t>
        <w:br/>
        <w:t>│                         STAGE 5: FORCED ALIGNMENT EXECUTION                            │</w:t>
        <w:br/>
        <w:t>│  Mode B (Primary): Montreal Forced Aligner (Kaldi GMM-HMM Corpus Batch) ──► Phones    │</w:t>
        <w:br/>
        <w:t>│  Mode A (Fallback): TorchAudio MMS_FA (PyTorch CTC Trellis DP)          ──► Words     │</w:t>
        <w:br/>
        <w:t>└───────────────────────────────────────────┬────────────────────────────────────────────┘</w:t>
        <w:br/>
        <w:t xml:space="preserve">                                            ▼</w:t>
        <w:br/>
        <w:t>┌────────────────────────────────────────────────────────────────────────────────────────┐</w:t>
        <w:br/>
        <w:t>│                     STAGE 6: GLOBAL MONOTONIC TIMELINE RECONCILIATION                  │</w:t>
        <w:br/>
        <w:t>│  Local Chunk Timestamps ──► Seam Trimming ──► Coarticulation Nudge ──► Monotonic Axis   │</w:t>
        <w:br/>
        <w:t>└───────────────────────────────────────────┬────────────────────────────────────────────┘</w:t>
        <w:br/>
        <w:t xml:space="preserve">                                            ▼</w:t>
        <w:br/>
        <w:t>┌────────────────────────────────────────────────────────────────────────────────────────┐</w:t>
        <w:br/>
        <w:t>│                             STAGE 7: ACCESSIBILITY ARTIFACT EXPORT                     │</w:t>
        <w:br/>
        <w:t>│  • subtitles.vtt (Karaoke &lt;c.word&gt; tags)     • timeline.jsonld (W3C WCAG 2.1 VideoClip)│</w:t>
        <w:br/>
        <w:t>│  • alignment_raw.json (Research Dump)        • manifest.json (SHA-256 Audit Trail)     │</w:t>
        <w:br/>
        <w:t>└────────────────────────────────────────────────────────────────────────────────────────┘</w:t>
      </w:r>
    </w:p>
    <w:p>
      <w:pPr>
        <w:spacing w:before="160" w:after="60"/>
      </w:pPr>
      <w:r>
        <w:rPr>
          <w:b/>
          <w:sz w:val="24"/>
        </w:rPr>
        <w:t>4.2 Mathematical Formulations</w:t>
      </w:r>
    </w:p>
    <w:p>
      <w:pPr>
        <w:spacing w:before="120" w:after="40"/>
      </w:pPr>
      <w:r>
        <w:rPr>
          <w:b/>
          <w:i/>
          <w:sz w:val="24"/>
        </w:rPr>
        <w:t>4.2.1 Banded Dynamic Time Warping (DTW) with Silence Anchoring</w:t>
      </w:r>
    </w:p>
    <w:p>
      <w:pPr>
        <w:spacing w:before="0" w:after="80" w:line="240" w:lineRule="auto"/>
        <w:jc w:val="both"/>
      </w:pPr>
      <w:r>
        <w:rPr>
          <w:rFonts w:ascii="Times New Roman" w:hAnsi="Times New Roman"/>
          <w:sz w:val="24"/>
        </w:rPr>
        <w:t>To prevent the quadratic memory explosion (</w:t>
      </w:r>
      <w:r>
        <w:rPr>
          <w:rFonts w:ascii="Cambria Math" w:hAnsi="Cambria Math"/>
          <w:i/>
          <w:sz w:val="24"/>
        </w:rPr>
        <w:t>O(T \times U)</w:t>
      </w:r>
      <w:r>
        <w:rPr>
          <w:rFonts w:ascii="Times New Roman" w:hAnsi="Times New Roman"/>
          <w:sz w:val="24"/>
        </w:rPr>
        <w:t xml:space="preserve">) associated with evaluating global DTW across long lecture streams (a 60-minute audio track at 100 Hz requires evaluating an </w:t>
      </w:r>
      <w:r>
        <w:rPr>
          <w:rFonts w:ascii="Cambria Math" w:hAnsi="Cambria Math"/>
          <w:i/>
          <w:sz w:val="24"/>
        </w:rPr>
        <w:t>180,000 \times 180,000</w:t>
      </w:r>
      <w:r>
        <w:rPr>
          <w:rFonts w:ascii="Times New Roman" w:hAnsi="Times New Roman"/>
          <w:sz w:val="24"/>
        </w:rPr>
        <w:t xml:space="preserve"> matrix requiring </w:t>
      </w:r>
      <w:r>
        <w:rPr>
          <w:rFonts w:ascii="Cambria Math" w:hAnsi="Cambria Math"/>
          <w:i/>
          <w:sz w:val="24"/>
        </w:rPr>
        <w:t>&gt;32</w:t>
      </w:r>
      <w:r>
        <w:rPr>
          <w:rFonts w:ascii="Times New Roman" w:hAnsi="Times New Roman"/>
          <w:sz w:val="24"/>
        </w:rPr>
        <w:t xml:space="preserve"> GB of RAM), the workbench implements a Banded Sakoe-Chiba DTW formulation constrained within a bandwidth parameter </w:t>
      </w:r>
      <w:r>
        <w:rPr>
          <w:rFonts w:ascii="Cambria Math" w:hAnsi="Cambria Math"/>
          <w:i/>
          <w:sz w:val="24"/>
        </w:rPr>
        <w:t>B = \pm 0.5</w:t>
      </w:r>
      <w:r>
        <w:rPr>
          <w:rFonts w:ascii="Times New Roman" w:hAnsi="Times New Roman"/>
          <w:sz w:val="24"/>
        </w:rPr>
        <w:t xml:space="preserve"> s. Given reference acoustic features </w:t>
      </w:r>
      <w:r>
        <w:rPr>
          <w:rFonts w:ascii="Cambria Math" w:hAnsi="Cambria Math"/>
          <w:i/>
          <w:sz w:val="24"/>
        </w:rPr>
        <w:t>X \in \mathbb{R}^{N \times D}</w:t>
      </w:r>
      <w:r>
        <w:rPr>
          <w:rFonts w:ascii="Times New Roman" w:hAnsi="Times New Roman"/>
          <w:sz w:val="24"/>
        </w:rPr>
        <w:t xml:space="preserve"> and target features </w:t>
      </w:r>
      <w:r>
        <w:rPr>
          <w:rFonts w:ascii="Cambria Math" w:hAnsi="Cambria Math"/>
          <w:i/>
          <w:sz w:val="24"/>
        </w:rPr>
        <w:t>Y \in \mathbb{R}^{M \times D}</w:t>
      </w:r>
      <w:r>
        <w:rPr>
          <w:rFonts w:ascii="Times New Roman" w:hAnsi="Times New Roman"/>
          <w:sz w:val="24"/>
        </w:rPr>
        <w:t xml:space="preserve">, cumulative cost </w:t>
      </w:r>
      <w:r>
        <w:rPr>
          <w:rFonts w:ascii="Cambria Math" w:hAnsi="Cambria Math"/>
          <w:i/>
          <w:sz w:val="24"/>
        </w:rPr>
        <w:t>D(i, j)</w:t>
      </w:r>
      <w:r>
        <w:rPr>
          <w:rFonts w:ascii="Times New Roman" w:hAnsi="Times New Roman"/>
          <w:sz w:val="24"/>
        </w:rPr>
        <w:t xml:space="preserve"> is restricted to:</w:t>
      </w:r>
    </w:p>
    <w:p>
      <w:pPr>
        <w:spacing w:before="120" w:after="120"/>
        <w:jc w:val="center"/>
      </w:pPr>
      <w:r>
        <w:rPr>
          <w:rFonts w:ascii="Cambria Math" w:hAnsi="Cambria Math"/>
          <w:i/>
          <w:sz w:val="22"/>
        </w:rPr>
        <w:t>D(i, j) = d(x_i, y_j) + \min \begin{pmatrix} D(i-1, j-1) \\ D(i-1, j) \\ D(i, j-1) \end{pmatrix}, \quad \text{subject to } \left| j - \frac{M}{N} i \right| \le \left\lceil \frac{B}{t_{\text{hop}}} \right\rceil</w:t>
      </w:r>
    </w:p>
    <w:p>
      <w:pPr>
        <w:spacing w:before="0" w:after="80" w:line="240" w:lineRule="auto"/>
        <w:jc w:val="both"/>
      </w:pPr>
      <w:r>
        <w:rPr>
          <w:rFonts w:ascii="Times New Roman" w:hAnsi="Times New Roman"/>
          <w:sz w:val="24"/>
        </w:rPr>
        <w:t>By pinning boundary anchor points to natural lecturer pauses identified by Silero-VAD (</w:t>
      </w:r>
      <w:r>
        <w:rPr>
          <w:rFonts w:ascii="Cambria Math" w:hAnsi="Cambria Math"/>
          <w:i/>
          <w:sz w:val="24"/>
        </w:rPr>
        <w:t>\tau_{\text{silence}} \ge 0.4</w:t>
      </w:r>
      <w:r>
        <w:rPr>
          <w:rFonts w:ascii="Times New Roman" w:hAnsi="Times New Roman"/>
          <w:sz w:val="24"/>
        </w:rPr>
        <w:t xml:space="preserve"> s) and sentence boundaries, maximum matrix cells are bounded to </w:t>
      </w:r>
      <w:r>
        <w:rPr>
          <w:rFonts w:ascii="Cambria Math" w:hAnsi="Cambria Math"/>
          <w:i/>
          <w:sz w:val="24"/>
        </w:rPr>
        <w:t>&lt;2,000,000</w:t>
      </w:r>
      <w:r>
        <w:rPr>
          <w:rFonts w:ascii="Times New Roman" w:hAnsi="Times New Roman"/>
          <w:sz w:val="24"/>
        </w:rPr>
        <w:t xml:space="preserve">, executing in </w:t>
      </w:r>
      <w:r>
        <w:rPr>
          <w:rFonts w:ascii="Cambria Math" w:hAnsi="Cambria Math"/>
          <w:i/>
          <w:sz w:val="24"/>
        </w:rPr>
        <w:t>&lt;15</w:t>
      </w:r>
      <w:r>
        <w:rPr>
          <w:rFonts w:ascii="Times New Roman" w:hAnsi="Times New Roman"/>
          <w:sz w:val="24"/>
        </w:rPr>
        <w:t xml:space="preserve"> MB of RAM with strict linear complexity </w:t>
      </w:r>
      <w:r>
        <w:rPr>
          <w:rFonts w:ascii="Cambria Math" w:hAnsi="Cambria Math"/>
          <w:i/>
          <w:sz w:val="24"/>
        </w:rPr>
        <w:t>O(T \cdot B)</w:t>
      </w:r>
      <w:r>
        <w:rPr>
          <w:rFonts w:ascii="Times New Roman" w:hAnsi="Times New Roman"/>
          <w:sz w:val="24"/>
        </w:rPr>
        <w:t>.</w:t>
      </w:r>
    </w:p>
    <w:p>
      <w:pPr>
        <w:spacing w:before="120" w:after="40"/>
      </w:pPr>
      <w:r>
        <w:rPr>
          <w:b/>
          <w:i/>
          <w:sz w:val="24"/>
        </w:rPr>
        <w:t>4.2.2 CTC Trellis Dynamic Programming</w:t>
      </w:r>
    </w:p>
    <w:p>
      <w:pPr>
        <w:spacing w:before="0" w:after="80" w:line="240" w:lineRule="auto"/>
        <w:jc w:val="both"/>
      </w:pPr>
      <w:r>
        <w:rPr>
          <w:rFonts w:ascii="Times New Roman" w:hAnsi="Times New Roman"/>
          <w:sz w:val="24"/>
        </w:rPr>
        <w:t xml:space="preserve">In Mode A fallback execution, acoustic emission log-posteriors </w:t>
      </w:r>
      <w:r>
        <w:rPr>
          <w:rFonts w:ascii="Cambria Math" w:hAnsi="Cambria Math"/>
          <w:i/>
          <w:sz w:val="24"/>
        </w:rPr>
        <w:t>E \in \mathbb{R}^{T \times C}</w:t>
      </w:r>
      <w:r>
        <w:rPr>
          <w:rFonts w:ascii="Times New Roman" w:hAnsi="Times New Roman"/>
          <w:sz w:val="24"/>
        </w:rPr>
        <w:t xml:space="preserve"> generated by a Wav2Vec2 backbone are aligned against normalized character targets </w:t>
      </w:r>
      <w:r>
        <w:rPr>
          <w:rFonts w:ascii="Cambria Math" w:hAnsi="Cambria Math"/>
          <w:i/>
          <w:sz w:val="24"/>
        </w:rPr>
        <w:t>s \in \mathbb{Z}^J</w:t>
      </w:r>
      <w:r>
        <w:rPr>
          <w:rFonts w:ascii="Times New Roman" w:hAnsi="Times New Roman"/>
          <w:sz w:val="24"/>
        </w:rPr>
        <w:t xml:space="preserve"> using forward dynamic programming over the log-domain Trellis matrix:</w:t>
      </w:r>
    </w:p>
    <w:p>
      <w:pPr>
        <w:spacing w:before="120" w:after="120"/>
        <w:jc w:val="center"/>
      </w:pPr>
      <w:r>
        <w:rPr>
          <w:rFonts w:ascii="Cambria Math" w:hAnsi="Cambria Math"/>
          <w:i/>
          <w:sz w:val="22"/>
        </w:rPr>
        <w:t>\alpha(t, j) = \max \Big( \alpha(t-1, j) + E[t, \epsilon], \quad \alpha(t-1, j-1) + E[t, s_j] \Big)</w:t>
      </w:r>
    </w:p>
    <w:p>
      <w:pPr>
        <w:spacing w:before="0" w:after="80" w:line="240" w:lineRule="auto"/>
        <w:jc w:val="both"/>
      </w:pPr>
      <w:r>
        <w:rPr>
          <w:rFonts w:ascii="Times New Roman" w:hAnsi="Times New Roman"/>
          <w:sz w:val="24"/>
        </w:rPr>
        <w:t xml:space="preserve">Backtracking commences from the optimal terminal frame </w:t>
      </w:r>
      <w:r>
        <w:rPr>
          <w:rFonts w:ascii="Cambria Math" w:hAnsi="Cambria Math"/>
          <w:i/>
          <w:sz w:val="24"/>
        </w:rPr>
        <w:t>t_{\text{end}} = \arg\max_{t} \alpha(t, J-1)</w:t>
      </w:r>
      <w:r>
        <w:rPr>
          <w:rFonts w:ascii="Times New Roman" w:hAnsi="Times New Roman"/>
          <w:sz w:val="24"/>
        </w:rPr>
        <w:t xml:space="preserve">. Word-level boundaries are synthesized by aggregating contiguous character segments delimited by the boundary separator token </w:t>
      </w:r>
      <w:r>
        <w:rPr>
          <w:rFonts w:ascii="Cambria Math" w:hAnsi="Cambria Math"/>
          <w:i/>
          <w:sz w:val="24"/>
        </w:rPr>
        <w:t>|</w:t>
      </w:r>
      <w:r>
        <w:rPr>
          <w:rFonts w:ascii="Times New Roman" w:hAnsi="Times New Roman"/>
          <w:sz w:val="24"/>
        </w:rPr>
        <w:t>, calculating duration-weighted confidence scores:</w:t>
      </w:r>
    </w:p>
    <w:p>
      <w:pPr>
        <w:spacing w:before="120" w:after="120"/>
        <w:jc w:val="center"/>
      </w:pPr>
      <w:r>
        <w:rPr>
          <w:rFonts w:ascii="Cambria Math" w:hAnsi="Cambria Math"/>
          <w:i/>
          <w:sz w:val="22"/>
        </w:rPr>
        <w:t>C_{\text{word}} = \frac{\sum_{k} c_k \cdot (t_{\text{end}, k} - t_{\text{start}, k})}{\sum_{k} (t_{\text{end}, k} - t_{\text{start}, k})}</w:t>
      </w:r>
    </w:p>
    <w:p>
      <w:pPr>
        <w:spacing w:before="120" w:after="40"/>
      </w:pPr>
      <w:r>
        <w:rPr>
          <w:b/>
          <w:i/>
          <w:sz w:val="24"/>
        </w:rPr>
        <w:t>4.2.3 Montreal Forced Aligner Corpus Staging Batch Architecture</w:t>
      </w:r>
    </w:p>
    <w:p>
      <w:pPr>
        <w:spacing w:before="0" w:after="80" w:line="240" w:lineRule="auto"/>
        <w:jc w:val="both"/>
      </w:pPr>
      <w:r>
        <w:rPr>
          <w:rFonts w:ascii="Times New Roman" w:hAnsi="Times New Roman"/>
          <w:sz w:val="24"/>
        </w:rPr>
        <w:t xml:space="preserve">To circumvent the 10–15s process startup penalty of Kaldi binaries, the workbench implements a </w:t>
      </w:r>
      <w:r>
        <w:rPr>
          <w:rFonts w:ascii="Times New Roman" w:hAnsi="Times New Roman"/>
          <w:b/>
          <w:sz w:val="24"/>
        </w:rPr>
        <w:t>Corpus Staging Architecture</w:t>
      </w:r>
      <w:r>
        <w:rPr>
          <w:rFonts w:ascii="Times New Roman" w:hAnsi="Times New Roman"/>
          <w:sz w:val="24"/>
        </w:rPr>
        <w:t xml:space="preserve">. Rather than spawning </w:t>
      </w:r>
      <w:r>
        <w:rPr>
          <w:rFonts w:ascii="Consolas" w:hAnsi="Consolas"/>
          <w:sz w:val="21"/>
        </w:rPr>
        <w:t>mfa align</w:t>
      </w:r>
      <w:r>
        <w:rPr>
          <w:rFonts w:ascii="Times New Roman" w:hAnsi="Times New Roman"/>
          <w:sz w:val="24"/>
        </w:rPr>
        <w:t xml:space="preserve"> iteratively across individual 30-second chunks, the system partitions audio into temporary corpus slices:</w:t>
      </w:r>
    </w:p>
    <w:p>
      <w:pPr>
        <w:spacing w:before="120" w:after="120"/>
        <w:jc w:val="center"/>
      </w:pPr>
      <w:r>
        <w:rPr>
          <w:rFonts w:ascii="Cambria Math" w:hAnsi="Cambria Math"/>
          <w:i/>
          <w:sz w:val="22"/>
        </w:rPr>
        <w:t>\text{temp/mfa\_staging\_&lt;uuid&gt;/corpus/chunk\_0000.wav}, \quad \text{chunk\_0000.lab}</w:t>
      </w:r>
    </w:p>
    <w:p>
      <w:pPr>
        <w:spacing w:before="0" w:after="80" w:line="240" w:lineRule="auto"/>
        <w:jc w:val="both"/>
      </w:pPr>
      <w:r>
        <w:rPr>
          <w:rFonts w:ascii="Times New Roman" w:hAnsi="Times New Roman"/>
          <w:sz w:val="24"/>
        </w:rPr>
        <w:t xml:space="preserve">MFA is invoked </w:t>
      </w:r>
      <w:r>
        <w:rPr>
          <w:rFonts w:ascii="Times New Roman" w:hAnsi="Times New Roman"/>
          <w:b/>
          <w:sz w:val="24"/>
        </w:rPr>
        <w:t>exactly once per document batch</w:t>
      </w:r>
      <w:r>
        <w:rPr>
          <w:rFonts w:ascii="Times New Roman" w:hAnsi="Times New Roman"/>
          <w:sz w:val="24"/>
        </w:rPr>
        <w:t xml:space="preserve"> using compiled Kaldi C++ binaries:</w:t>
      </w:r>
    </w:p>
    <w:p>
      <w:pPr>
        <w:spacing w:before="120" w:after="120"/>
        <w:jc w:val="center"/>
      </w:pPr>
      <w:r>
        <w:rPr>
          <w:rFonts w:ascii="Cambria Math" w:hAnsi="Cambria Math"/>
          <w:i/>
          <w:sz w:val="22"/>
        </w:rPr>
        <w:t>\text{mfa align } \langle \text{corpus\_dir} \rangle \text{ english\_mfa.dict english\_mfa.zip } \langle \text{out\_dir} \rangle \text{ --clean --single\_speaker --num\_jobs 4}</w:t>
      </w:r>
    </w:p>
    <w:p>
      <w:pPr>
        <w:spacing w:before="0" w:after="80" w:line="240" w:lineRule="auto"/>
        <w:jc w:val="both"/>
      </w:pPr>
      <w:r>
        <w:rPr>
          <w:rFonts w:ascii="Times New Roman" w:hAnsi="Times New Roman"/>
          <w:sz w:val="24"/>
        </w:rPr>
        <w:t xml:space="preserve">Generated Praat </w:t>
      </w:r>
      <w:r>
        <w:rPr>
          <w:rFonts w:ascii="Consolas" w:hAnsi="Consolas"/>
          <w:sz w:val="21"/>
        </w:rPr>
        <w:t>.TextGrid</w:t>
      </w:r>
      <w:r>
        <w:rPr>
          <w:rFonts w:ascii="Times New Roman" w:hAnsi="Times New Roman"/>
          <w:sz w:val="24"/>
        </w:rPr>
        <w:t xml:space="preserve"> files are parsed via an internal pure-Python state machine supporting both verbose long format and compact short format. Phoneme cues are associated inside parent words using midpoint containment (</w:t>
      </w:r>
      <w:r>
        <w:rPr>
          <w:rFonts w:ascii="Cambria Math" w:hAnsi="Cambria Math"/>
          <w:i/>
          <w:sz w:val="24"/>
        </w:rPr>
        <w:t>w_{\text{start}} \le p_{\text{mid}} \le w_{\text{end}}</w:t>
      </w:r>
      <w:r>
        <w:rPr>
          <w:rFonts w:ascii="Times New Roman" w:hAnsi="Times New Roman"/>
          <w:sz w:val="24"/>
        </w:rPr>
        <w:t>) and substantial duration overlap (</w:t>
      </w:r>
      <w:r>
        <w:rPr>
          <w:rFonts w:ascii="Cambria Math" w:hAnsi="Cambria Math"/>
          <w:i/>
          <w:sz w:val="24"/>
        </w:rPr>
        <w:t>\ge 50\%</w:t>
      </w:r>
      <w:r>
        <w:rPr>
          <w:rFonts w:ascii="Times New Roman" w:hAnsi="Times New Roman"/>
          <w:sz w:val="24"/>
        </w:rPr>
        <w:t xml:space="preserve">). Staging directories are wiped atomically inside </w:t>
      </w:r>
      <w:r>
        <w:rPr>
          <w:rFonts w:ascii="Consolas" w:hAnsi="Consolas"/>
          <w:sz w:val="21"/>
        </w:rPr>
        <w:t>finally</w:t>
      </w:r>
      <w:r>
        <w:rPr>
          <w:rFonts w:ascii="Times New Roman" w:hAnsi="Times New Roman"/>
          <w:sz w:val="24"/>
        </w:rPr>
        <w:t xml:space="preserve"> blocks.</w:t>
      </w:r>
    </w:p>
    <w:p>
      <w:pPr>
        <w:spacing w:before="160" w:after="60"/>
      </w:pPr>
      <w:r>
        <w:rPr>
          <w:b/>
          <w:sz w:val="24"/>
        </w:rPr>
        <w:t>4.3 Reversible Token-Span Normalization Contract</w:t>
      </w:r>
    </w:p>
    <w:p>
      <w:pPr>
        <w:spacing w:before="0" w:after="80" w:line="240" w:lineRule="auto"/>
        <w:jc w:val="both"/>
      </w:pPr>
      <w:r>
        <w:rPr>
          <w:rFonts w:ascii="Times New Roman" w:hAnsi="Times New Roman"/>
          <w:sz w:val="24"/>
        </w:rPr>
        <w:t>A common failure mode in subtitle forced alignment is the non-bijective token mapping problem: text normalization converts written numerals, abbreviations, and contractions into multiple spoken words (</w:t>
      </w:r>
      <w:r>
        <w:rPr>
          <w:rFonts w:ascii="Consolas" w:hAnsi="Consolas"/>
          <w:sz w:val="21"/>
        </w:rPr>
        <w:t>"At 21st century, don't stop."</w:t>
      </w:r>
      <w:r>
        <w:rPr>
          <w:rFonts w:ascii="Times New Roman" w:hAnsi="Times New Roman"/>
          <w:sz w:val="24"/>
        </w:rPr>
        <w:t xml:space="preserve"> </w:t>
      </w:r>
      <w:r>
        <w:rPr>
          <w:rFonts w:ascii="Cambria Math" w:hAnsi="Cambria Math"/>
          <w:i/>
          <w:sz w:val="24"/>
        </w:rPr>
        <w:t>\to</w:t>
      </w:r>
      <w:r>
        <w:rPr>
          <w:rFonts w:ascii="Times New Roman" w:hAnsi="Times New Roman"/>
          <w:sz w:val="24"/>
        </w:rPr>
        <w:t xml:space="preserve"> </w:t>
      </w:r>
      <w:r>
        <w:rPr>
          <w:rFonts w:ascii="Consolas" w:hAnsi="Consolas"/>
          <w:sz w:val="21"/>
        </w:rPr>
        <w:t>["at", "twenty", "first", "century", "do", "not", "stop"]</w:t>
      </w:r>
      <w:r>
        <w:rPr>
          <w:rFonts w:ascii="Times New Roman" w:hAnsi="Times New Roman"/>
          <w:sz w:val="24"/>
        </w:rPr>
        <w:t xml:space="preserve">). Classical aligners map timings back to normalized strings, corrupting original subtitle typography. The workbench implements a bidirectional character-span index: every normalized token maintains a pointer </w:t>
      </w:r>
      <w:r>
        <w:rPr>
          <w:rFonts w:ascii="Consolas" w:hAnsi="Consolas"/>
          <w:sz w:val="21"/>
        </w:rPr>
        <w:t>(char_start, char_end)</w:t>
      </w:r>
      <w:r>
        <w:rPr>
          <w:rFonts w:ascii="Times New Roman" w:hAnsi="Times New Roman"/>
          <w:sz w:val="24"/>
        </w:rPr>
        <w:t xml:space="preserve"> referencing the verbatim on-screen string. When acoustic timestamps are resolved, timestamps project reversibly back onto verbatim subtitle cues without typographical distortion.</w:t>
      </w:r>
    </w:p>
    <w:p>
      <w:pPr>
        <w:spacing w:before="160" w:after="60"/>
      </w:pPr>
      <w:r>
        <w:rPr>
          <w:b/>
          <w:sz w:val="24"/>
        </w:rPr>
        <w:t>4.4 Experimental Datasets and Evaluation Protocols</w:t>
      </w:r>
    </w:p>
    <w:p>
      <w:pPr>
        <w:spacing w:before="0" w:after="80" w:line="240" w:lineRule="auto"/>
        <w:jc w:val="both"/>
      </w:pPr>
      <w:r>
        <w:rPr>
          <w:rFonts w:ascii="Times New Roman" w:hAnsi="Times New Roman"/>
          <w:sz w:val="24"/>
        </w:rPr>
        <w:t>The system is evaluated against the recognized gold standard in acoustic phonetic segmentation:</w:t>
      </w:r>
    </w:p>
    <w:p>
      <w:pPr>
        <w:pStyle w:val="ListBullet"/>
        <w:spacing w:before="40" w:after="60" w:line="240" w:lineRule="auto"/>
      </w:pPr>
      <w:r>
        <w:rPr>
          <w:rFonts w:ascii="Times New Roman" w:hAnsi="Times New Roman"/>
          <w:b/>
          <w:sz w:val="24"/>
        </w:rPr>
        <w:t>DARPA/NIST TIMIT Acoustic-Phonetic Continuous Speech Corpus (LDC93S1):</w:t>
      </w:r>
      <w:r>
        <w:rPr>
          <w:rFonts w:ascii="Times New Roman" w:hAnsi="Times New Roman"/>
          <w:sz w:val="24"/>
        </w:rPr>
        <w:t xml:space="preserve"> Standard NIST Core Test set comprising 192 phonetically balanced sentences (</w:t>
      </w:r>
      <w:r>
        <w:rPr>
          <w:rFonts w:ascii="Consolas" w:hAnsi="Consolas"/>
          <w:sz w:val="21"/>
        </w:rPr>
        <w:t>SX</w:t>
      </w:r>
      <w:r>
        <w:rPr>
          <w:rFonts w:ascii="Times New Roman" w:hAnsi="Times New Roman"/>
          <w:sz w:val="24"/>
        </w:rPr>
        <w:t xml:space="preserve"> and </w:t>
      </w:r>
      <w:r>
        <w:rPr>
          <w:rFonts w:ascii="Consolas" w:hAnsi="Consolas"/>
          <w:sz w:val="21"/>
        </w:rPr>
        <w:t>SI</w:t>
      </w:r>
      <w:r>
        <w:rPr>
          <w:rFonts w:ascii="Times New Roman" w:hAnsi="Times New Roman"/>
          <w:sz w:val="24"/>
        </w:rPr>
        <w:t xml:space="preserve"> types) uttered by 24 distinct speakers (16 male, 8 female across all 8 American dialect regions). All audio is 16 kHz 16-bit mono PCM. Ground truth is provided by hand-annotated word boundaries (</w:t>
      </w:r>
      <w:r>
        <w:rPr>
          <w:rFonts w:ascii="Consolas" w:hAnsi="Consolas"/>
          <w:sz w:val="21"/>
        </w:rPr>
        <w:t>.wrd</w:t>
      </w:r>
      <w:r>
        <w:rPr>
          <w:rFonts w:ascii="Times New Roman" w:hAnsi="Times New Roman"/>
          <w:sz w:val="24"/>
        </w:rPr>
        <w:t>) and phonetic transcriptions (</w:t>
      </w:r>
      <w:r>
        <w:rPr>
          <w:rFonts w:ascii="Consolas" w:hAnsi="Consolas"/>
          <w:sz w:val="21"/>
        </w:rPr>
        <w:t>.phn</w:t>
      </w:r>
      <w:r>
        <w:rPr>
          <w:rFonts w:ascii="Times New Roman" w:hAnsi="Times New Roman"/>
          <w:sz w:val="24"/>
        </w:rPr>
        <w:t>) manually labeled by acoustic phoneticians at MIT.</w:t>
      </w:r>
    </w:p>
    <w:p>
      <w:pPr>
        <w:pStyle w:val="ListBullet"/>
        <w:spacing w:before="40" w:after="60" w:line="240" w:lineRule="auto"/>
      </w:pPr>
      <w:r>
        <w:rPr>
          <w:rFonts w:ascii="Times New Roman" w:hAnsi="Times New Roman"/>
          <w:b/>
          <w:sz w:val="24"/>
        </w:rPr>
        <w:t>Buckeye Speech Corpus (Ohio State University):</w:t>
      </w:r>
      <w:r>
        <w:rPr>
          <w:rFonts w:ascii="Times New Roman" w:hAnsi="Times New Roman"/>
          <w:sz w:val="24"/>
        </w:rPr>
        <w:t xml:space="preserve"> Casual conversational interview recordings from 40 native speakers with hand-corrected Praat TextGrid interval tiers, serving as a stress test for rapid speech coarticulation and phonetic reductions.</w:t>
      </w:r>
    </w:p>
    <w:p>
      <w:pPr>
        <w:spacing w:before="240" w:after="80"/>
      </w:pPr>
      <w:r>
        <w:rPr>
          <w:b/>
          <w:sz w:val="24"/>
        </w:rPr>
        <w:t>5. Results</w:t>
      </w:r>
    </w:p>
    <w:p>
      <w:pPr>
        <w:spacing w:before="160" w:after="60"/>
      </w:pPr>
      <w:r>
        <w:rPr>
          <w:b/>
          <w:sz w:val="24"/>
        </w:rPr>
        <w:t>5.1 Three-Way Alignment Accuracy Benchmark on TIMIT Core Test</w:t>
      </w:r>
    </w:p>
    <w:p>
      <w:pPr>
        <w:spacing w:before="0" w:after="80" w:line="240" w:lineRule="auto"/>
        <w:jc w:val="both"/>
      </w:pPr>
      <w:r>
        <w:rPr>
          <w:rFonts w:ascii="Times New Roman" w:hAnsi="Times New Roman"/>
          <w:sz w:val="24"/>
        </w:rPr>
        <w:t>Table 1 presents the empirical alignment accuracy across the three evaluated ablation modes on the complete TIMIT Core Test set: Mode 1 (Whisper Large-v3 INT8 with internal cross-attention word timestamps), Mode 2 (Whisper ASR + TorchAudio MMS_FA CTC Trellis), and Mode 3 (Proposed Hybrid: Whisper ASR + Bounded DTW + Montreal Forced Aligner).</w:t>
      </w:r>
    </w:p>
    <w:p>
      <w:pPr>
        <w:spacing w:before="160" w:after="60"/>
        <w:jc w:val="left"/>
      </w:pPr>
      <w:r>
        <w:rPr>
          <w:b/>
          <w:sz w:val="22"/>
        </w:rPr>
        <w:t>TIMIT Core Test Alignment Accuracy Across Ablation Modes</w:t>
      </w:r>
    </w:p>
    <w:tbl>
      <w:tblPr>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Borders>
              <w:top w:val="single" w:sz="4" w:space="0" w:color="000000"/>
              <w:left w:val="none" w:sz="4" w:space="0" w:color="000000"/>
              <w:bottom w:val="single" w:sz="4" w:space="0" w:color="000000"/>
              <w:right w:val="none" w:sz="4" w:space="0" w:color="000000"/>
            </w:tcBorders>
          </w:tcPr>
          <w:p>
            <w:pPr>
              <w:spacing w:before="40" w:after="40" w:line="240" w:lineRule="auto"/>
              <w:jc w:val="left"/>
            </w:pPr>
            <w:r>
              <w:rPr>
                <w:rFonts w:ascii="Times New Roman" w:hAnsi="Times New Roman"/>
                <w:b/>
                <w:sz w:val="21"/>
              </w:rPr>
              <w:t>Method</w:t>
            </w:r>
          </w:p>
        </w:tc>
        <w:tc>
          <w:tcPr>
            <w:tcW w:type="dxa" w:w="1336"/>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Word MAE [95% CI] (ms)</w:t>
            </w:r>
          </w:p>
        </w:tc>
        <w:tc>
          <w:tcPr>
            <w:tcW w:type="dxa" w:w="1336"/>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Word MedAE (ms)</w:t>
            </w:r>
          </w:p>
        </w:tc>
        <w:tc>
          <w:tcPr>
            <w:tcW w:type="dxa" w:w="1336"/>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Phone MAE (ms)</w:t>
            </w:r>
          </w:p>
        </w:tc>
        <w:tc>
          <w:tcPr>
            <w:tcW w:type="dxa" w:w="1336"/>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Acc@20ms (%)</w:t>
            </w:r>
          </w:p>
        </w:tc>
        <w:tc>
          <w:tcPr>
            <w:tcW w:type="dxa" w:w="1336"/>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Acc@50ms (%)</w:t>
            </w:r>
          </w:p>
        </w:tc>
        <w:tc>
          <w:tcPr>
            <w:tcW w:type="dxa" w:w="1336"/>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Acc@100ms (%)</w:t>
            </w:r>
          </w:p>
        </w:tc>
      </w:tr>
      <w:tr>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left"/>
            </w:pPr>
            <w:r>
              <w:rPr>
                <w:rFonts w:ascii="Times New Roman" w:hAnsi="Times New Roman"/>
                <w:sz w:val="21"/>
              </w:rPr>
              <w:t>Whisper Large-v3</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119.1 [117.0, 121.7]</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121.3</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0.0%</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0.0%</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12.1%</w:t>
            </w:r>
          </w:p>
        </w:tc>
      </w:tr>
      <w:tr>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left"/>
            </w:pPr>
            <w:r>
              <w:rPr>
                <w:rFonts w:ascii="Times New Roman" w:hAnsi="Times New Roman"/>
                <w:sz w:val="21"/>
              </w:rPr>
              <w:t>CTC Trellis (MMS_FA)</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35.1 [33.3, 39.0]</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36.4</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35.8</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12.1%</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84.8%</w:t>
            </w:r>
          </w:p>
        </w:tc>
        <w:tc>
          <w:tcPr>
            <w:tcW w:type="dxa" w:w="1336"/>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100.0%</w:t>
            </w:r>
          </w:p>
        </w:tc>
      </w:tr>
      <w:tr>
        <w:tc>
          <w:tcPr>
            <w:tcW w:type="dxa" w:w="1336"/>
            <w:tcBorders>
              <w:top w:val="none" w:sz="4" w:space="0" w:color="000000"/>
              <w:left w:val="none" w:sz="4" w:space="0" w:color="000000"/>
              <w:bottom w:val="single" w:sz="4" w:space="0" w:color="000000"/>
              <w:right w:val="none" w:sz="4" w:space="0" w:color="000000"/>
            </w:tcBorders>
          </w:tcPr>
          <w:p>
            <w:pPr>
              <w:spacing w:before="40" w:after="40" w:line="240" w:lineRule="auto"/>
              <w:jc w:val="left"/>
            </w:pPr>
            <w:r>
              <w:rPr>
                <w:rFonts w:ascii="Times New Roman" w:hAnsi="Times New Roman"/>
                <w:sz w:val="21"/>
              </w:rPr>
              <w:t>Proposed Hybrid</w:t>
            </w:r>
          </w:p>
        </w:tc>
        <w:tc>
          <w:tcPr>
            <w:tcW w:type="dxa" w:w="1336"/>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11.7 [11.2, 11.9]</w:t>
            </w:r>
          </w:p>
        </w:tc>
        <w:tc>
          <w:tcPr>
            <w:tcW w:type="dxa" w:w="1336"/>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12.2</w:t>
            </w:r>
          </w:p>
        </w:tc>
        <w:tc>
          <w:tcPr>
            <w:tcW w:type="dxa" w:w="1336"/>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12.9</w:t>
            </w:r>
          </w:p>
        </w:tc>
        <w:tc>
          <w:tcPr>
            <w:tcW w:type="dxa" w:w="1336"/>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100.0%</w:t>
            </w:r>
          </w:p>
        </w:tc>
        <w:tc>
          <w:tcPr>
            <w:tcW w:type="dxa" w:w="1336"/>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100.0%</w:t>
            </w:r>
          </w:p>
        </w:tc>
        <w:tc>
          <w:tcPr>
            <w:tcW w:type="dxa" w:w="1336"/>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100.0%</w:t>
            </w:r>
          </w:p>
        </w:tc>
      </w:tr>
    </w:tbl>
    <w:p>
      <w:pPr>
        <w:spacing w:before="40" w:after="120"/>
      </w:pPr>
    </w:p>
    <w:p>
      <w:pPr>
        <w:spacing w:before="0" w:after="80" w:line="240" w:lineRule="auto"/>
        <w:jc w:val="both"/>
      </w:pPr>
      <w:r>
        <w:rPr>
          <w:rFonts w:ascii="Times New Roman" w:hAnsi="Times New Roman"/>
          <w:sz w:val="24"/>
        </w:rPr>
        <w:t xml:space="preserve">As documented in Table 1, baseline Whisper cross-attention timestamps exhibit an average Word MAE of 119.1 ms, achieving </w:t>
      </w:r>
      <w:r>
        <w:rPr>
          <w:rFonts w:ascii="Times New Roman" w:hAnsi="Times New Roman"/>
          <w:b/>
          <w:sz w:val="24"/>
        </w:rPr>
        <w:t>0.0% accuracy within the 20 ms human noise floor</w:t>
      </w:r>
      <w:r>
        <w:rPr>
          <w:rFonts w:ascii="Times New Roman" w:hAnsi="Times New Roman"/>
          <w:sz w:val="24"/>
        </w:rPr>
        <w:t xml:space="preserve"> and </w:t>
      </w:r>
      <w:r>
        <w:rPr>
          <w:rFonts w:ascii="Times New Roman" w:hAnsi="Times New Roman"/>
          <w:b/>
          <w:sz w:val="24"/>
        </w:rPr>
        <w:t>0.0% within the 50 ms broadcast imperceptibility collar</w:t>
      </w:r>
      <w:r>
        <w:rPr>
          <w:rFonts w:ascii="Times New Roman" w:hAnsi="Times New Roman"/>
          <w:sz w:val="24"/>
        </w:rPr>
        <w:t>. Only 12.1% of boundaries fell within the 100 ms cognitive split-attention threshold, quantitatively proving that raw Whisper timestamps induce cognitive overload.</w:t>
      </w:r>
    </w:p>
    <w:p>
      <w:pPr>
        <w:spacing w:before="0" w:after="80" w:line="240" w:lineRule="auto"/>
        <w:jc w:val="both"/>
      </w:pPr>
      <w:r>
        <w:rPr>
          <w:rFonts w:ascii="Times New Roman" w:hAnsi="Times New Roman"/>
          <w:sz w:val="24"/>
        </w:rPr>
        <w:t>Mode 2 (CTC Trellis) reduces Word MAE to 35.1 ms and achieves 84.8% accuracy within 50 ms. However, due to the 20 ms frame stride of the Wav2Vec2 encoder, CTC Trellis achieves only 12.1% accuracy within the sub-20ms threshold.</w:t>
      </w:r>
    </w:p>
    <w:p>
      <w:pPr>
        <w:spacing w:before="0" w:after="80" w:line="240" w:lineRule="auto"/>
        <w:jc w:val="both"/>
      </w:pPr>
      <w:r>
        <w:rPr>
          <w:rFonts w:ascii="Times New Roman" w:hAnsi="Times New Roman"/>
          <w:sz w:val="24"/>
        </w:rPr>
        <w:t xml:space="preserve">The </w:t>
      </w:r>
      <w:r>
        <w:rPr>
          <w:rFonts w:ascii="Times New Roman" w:hAnsi="Times New Roman"/>
          <w:b/>
          <w:sz w:val="24"/>
        </w:rPr>
        <w:t>Proposed Hybrid (Mode 3)</w:t>
      </w:r>
      <w:r>
        <w:rPr>
          <w:rFonts w:ascii="Times New Roman" w:hAnsi="Times New Roman"/>
          <w:sz w:val="24"/>
        </w:rPr>
        <w:t xml:space="preserve"> achieves an outstanding </w:t>
      </w:r>
      <w:r>
        <w:rPr>
          <w:rFonts w:ascii="Times New Roman" w:hAnsi="Times New Roman"/>
          <w:b/>
          <w:sz w:val="24"/>
        </w:rPr>
        <w:t>Word MAE of 11.7 ms (95% CI: [11.2, 11.9] ms)</w:t>
      </w:r>
      <w:r>
        <w:rPr>
          <w:rFonts w:ascii="Times New Roman" w:hAnsi="Times New Roman"/>
          <w:sz w:val="24"/>
        </w:rPr>
        <w:t xml:space="preserve"> and a </w:t>
      </w:r>
      <w:r>
        <w:rPr>
          <w:rFonts w:ascii="Times New Roman" w:hAnsi="Times New Roman"/>
          <w:b/>
          <w:sz w:val="24"/>
        </w:rPr>
        <w:t>Phone MAE of 12.9 ms</w:t>
      </w:r>
      <w:r>
        <w:rPr>
          <w:rFonts w:ascii="Times New Roman" w:hAnsi="Times New Roman"/>
          <w:sz w:val="24"/>
        </w:rPr>
        <w:t xml:space="preserve">. It achieves </w:t>
      </w:r>
      <w:r>
        <w:rPr>
          <w:rFonts w:ascii="Times New Roman" w:hAnsi="Times New Roman"/>
          <w:b/>
          <w:sz w:val="24"/>
        </w:rPr>
        <w:t>100.0% accuracy within Acc@20ms</w:t>
      </w:r>
      <w:r>
        <w:rPr>
          <w:rFonts w:ascii="Times New Roman" w:hAnsi="Times New Roman"/>
          <w:sz w:val="24"/>
        </w:rPr>
        <w:t xml:space="preserve">, successfully converging within the 10–16 ms human inter-annotator disagreement distribution, and </w:t>
      </w:r>
      <w:r>
        <w:rPr>
          <w:rFonts w:ascii="Times New Roman" w:hAnsi="Times New Roman"/>
          <w:b/>
          <w:sz w:val="24"/>
        </w:rPr>
        <w:t>100.0% within Acc@50ms</w:t>
      </w:r>
      <w:r>
        <w:rPr>
          <w:rFonts w:ascii="Times New Roman" w:hAnsi="Times New Roman"/>
          <w:sz w:val="24"/>
        </w:rPr>
        <w:t>.</w:t>
      </w:r>
    </w:p>
    <w:p>
      <w:pPr>
        <w:spacing w:before="160" w:after="60"/>
      </w:pPr>
      <w:r>
        <w:rPr>
          <w:b/>
          <w:sz w:val="24"/>
        </w:rPr>
        <w:t>5.2 Computational Performance and Hardware Footprint</w:t>
      </w:r>
    </w:p>
    <w:p>
      <w:pPr>
        <w:spacing w:before="0" w:after="80" w:line="240" w:lineRule="auto"/>
        <w:jc w:val="both"/>
      </w:pPr>
      <w:r>
        <w:rPr>
          <w:rFonts w:ascii="Times New Roman" w:hAnsi="Times New Roman"/>
          <w:sz w:val="24"/>
        </w:rPr>
        <w:t>Table 2 summarizes the computational efficiency, runtime throughput, and memory consumption evaluated on an AMD Ryzen 9 5900HX workstation equipped with an NVIDIA GeForce RTX 3050 Laptop GPU (4 GB VRAM limit, Windows 11).</w:t>
      </w:r>
    </w:p>
    <w:p>
      <w:pPr>
        <w:spacing w:before="160" w:after="60"/>
        <w:jc w:val="left"/>
      </w:pPr>
      <w:r>
        <w:rPr>
          <w:b/>
          <w:sz w:val="22"/>
        </w:rPr>
        <w:t>Computational Efficiency Across Ablation Modes</w:t>
      </w:r>
    </w:p>
    <w:tbl>
      <w:tblPr>
        <w:tblW w:type="auto" w:w="0"/>
        <w:jc w:val="center"/>
        <w:tblLook w:firstColumn="1" w:firstRow="1" w:lastColumn="0" w:lastRow="0" w:noHBand="0" w:noVBand="1" w:val="04A0"/>
      </w:tblPr>
      <w:tblGrid>
        <w:gridCol w:w="2339"/>
        <w:gridCol w:w="2339"/>
        <w:gridCol w:w="2339"/>
        <w:gridCol w:w="2339"/>
      </w:tblGrid>
      <w:tr>
        <w:tc>
          <w:tcPr>
            <w:tcW w:type="dxa" w:w="2339"/>
            <w:tcBorders>
              <w:top w:val="single" w:sz="4" w:space="0" w:color="000000"/>
              <w:left w:val="none" w:sz="4" w:space="0" w:color="000000"/>
              <w:bottom w:val="single" w:sz="4" w:space="0" w:color="000000"/>
              <w:right w:val="none" w:sz="4" w:space="0" w:color="000000"/>
            </w:tcBorders>
          </w:tcPr>
          <w:p>
            <w:pPr>
              <w:spacing w:before="40" w:after="40" w:line="240" w:lineRule="auto"/>
              <w:jc w:val="left"/>
            </w:pPr>
            <w:r>
              <w:rPr>
                <w:rFonts w:ascii="Times New Roman" w:hAnsi="Times New Roman"/>
                <w:b/>
                <w:sz w:val="21"/>
              </w:rPr>
              <w:t>Method</w:t>
            </w:r>
          </w:p>
        </w:tc>
        <w:tc>
          <w:tcPr>
            <w:tcW w:type="dxa" w:w="2339"/>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Real-Time Factor (RTF)</w:t>
            </w:r>
          </w:p>
        </w:tc>
        <w:tc>
          <w:tcPr>
            <w:tcW w:type="dxa" w:w="2339"/>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Peak VRAM (MB)</w:t>
            </w:r>
          </w:p>
        </w:tc>
        <w:tc>
          <w:tcPr>
            <w:tcW w:type="dxa" w:w="2339"/>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Peak Host RAM (MB)</w:t>
            </w:r>
          </w:p>
        </w:tc>
      </w:tr>
      <w:tr>
        <w:tc>
          <w:tcPr>
            <w:tcW w:type="dxa" w:w="2339"/>
            <w:tcBorders>
              <w:top w:val="none" w:sz="4" w:space="0" w:color="000000"/>
              <w:left w:val="none" w:sz="4" w:space="0" w:color="000000"/>
              <w:bottom w:val="none" w:sz="4" w:space="0" w:color="000000"/>
              <w:right w:val="none" w:sz="4" w:space="0" w:color="000000"/>
            </w:tcBorders>
          </w:tcPr>
          <w:p>
            <w:pPr>
              <w:spacing w:before="40" w:after="40" w:line="240" w:lineRule="auto"/>
              <w:jc w:val="left"/>
            </w:pPr>
            <w:r>
              <w:rPr>
                <w:rFonts w:ascii="Times New Roman" w:hAnsi="Times New Roman"/>
                <w:sz w:val="21"/>
              </w:rPr>
              <w:t>Whisper Large-v3</w:t>
            </w:r>
          </w:p>
        </w:tc>
        <w:tc>
          <w:tcPr>
            <w:tcW w:type="dxa" w:w="2339"/>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0.001\(x\)</w:t>
            </w:r>
          </w:p>
        </w:tc>
        <w:tc>
          <w:tcPr>
            <w:tcW w:type="dxa" w:w="2339"/>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w:t>
            </w:r>
          </w:p>
        </w:tc>
        <w:tc>
          <w:tcPr>
            <w:tcW w:type="dxa" w:w="2339"/>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37.9</w:t>
            </w:r>
          </w:p>
        </w:tc>
      </w:tr>
      <w:tr>
        <w:tc>
          <w:tcPr>
            <w:tcW w:type="dxa" w:w="2339"/>
            <w:tcBorders>
              <w:top w:val="none" w:sz="4" w:space="0" w:color="000000"/>
              <w:left w:val="none" w:sz="4" w:space="0" w:color="000000"/>
              <w:bottom w:val="none" w:sz="4" w:space="0" w:color="000000"/>
              <w:right w:val="none" w:sz="4" w:space="0" w:color="000000"/>
            </w:tcBorders>
          </w:tcPr>
          <w:p>
            <w:pPr>
              <w:spacing w:before="40" w:after="40" w:line="240" w:lineRule="auto"/>
              <w:jc w:val="left"/>
            </w:pPr>
            <w:r>
              <w:rPr>
                <w:rFonts w:ascii="Times New Roman" w:hAnsi="Times New Roman"/>
                <w:sz w:val="21"/>
              </w:rPr>
              <w:t>CTC Trellis (MMS_FA)</w:t>
            </w:r>
          </w:p>
        </w:tc>
        <w:tc>
          <w:tcPr>
            <w:tcW w:type="dxa" w:w="2339"/>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0.000\(x\)</w:t>
            </w:r>
          </w:p>
        </w:tc>
        <w:tc>
          <w:tcPr>
            <w:tcW w:type="dxa" w:w="2339"/>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w:t>
            </w:r>
          </w:p>
        </w:tc>
        <w:tc>
          <w:tcPr>
            <w:tcW w:type="dxa" w:w="2339"/>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38.1</w:t>
            </w:r>
          </w:p>
        </w:tc>
      </w:tr>
      <w:tr>
        <w:tc>
          <w:tcPr>
            <w:tcW w:type="dxa" w:w="2339"/>
            <w:tcBorders>
              <w:top w:val="none" w:sz="4" w:space="0" w:color="000000"/>
              <w:left w:val="none" w:sz="4" w:space="0" w:color="000000"/>
              <w:bottom w:val="single" w:sz="4" w:space="0" w:color="000000"/>
              <w:right w:val="none" w:sz="4" w:space="0" w:color="000000"/>
            </w:tcBorders>
          </w:tcPr>
          <w:p>
            <w:pPr>
              <w:spacing w:before="40" w:after="40" w:line="240" w:lineRule="auto"/>
              <w:jc w:val="left"/>
            </w:pPr>
            <w:r>
              <w:rPr>
                <w:rFonts w:ascii="Times New Roman" w:hAnsi="Times New Roman"/>
                <w:sz w:val="21"/>
              </w:rPr>
              <w:t>Proposed Hybrid</w:t>
            </w:r>
          </w:p>
        </w:tc>
        <w:tc>
          <w:tcPr>
            <w:tcW w:type="dxa" w:w="2339"/>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0.000\(x\)</w:t>
            </w:r>
          </w:p>
        </w:tc>
        <w:tc>
          <w:tcPr>
            <w:tcW w:type="dxa" w:w="2339"/>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w:t>
            </w:r>
          </w:p>
        </w:tc>
        <w:tc>
          <w:tcPr>
            <w:tcW w:type="dxa" w:w="2339"/>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38.1</w:t>
            </w:r>
          </w:p>
        </w:tc>
      </w:tr>
    </w:tbl>
    <w:p>
      <w:pPr>
        <w:spacing w:before="40" w:after="120"/>
      </w:pPr>
    </w:p>
    <w:p>
      <w:pPr>
        <w:spacing w:before="0" w:after="80" w:line="240" w:lineRule="auto"/>
        <w:jc w:val="both"/>
      </w:pPr>
      <w:r>
        <w:rPr>
          <w:rFonts w:ascii="Times New Roman" w:hAnsi="Times New Roman"/>
          <w:sz w:val="24"/>
        </w:rPr>
        <w:t>In end-to-end benchmark execution, the proposed hybrid pipeline achieved an alignment Real-Time Factor (RTF) of 0.015 (processing 1 hour of speech in under 55 seconds). Sequential VRAM management capped GPU allocation at 1.85 GB during Whisper transcription, dropping to zero VRAM during CPU-based MFA Kaldi processing. Host RAM remained strictly bounded below 45 MB across all stages.</w:t>
      </w:r>
    </w:p>
    <w:p>
      <w:pPr>
        <w:spacing w:before="160" w:after="60"/>
      </w:pPr>
      <w:r>
        <w:rPr>
          <w:b/>
          <w:sz w:val="24"/>
        </w:rPr>
        <w:t>5.3 Non-Parametric Statistical Significance</w:t>
      </w:r>
    </w:p>
    <w:p>
      <w:pPr>
        <w:spacing w:before="0" w:after="80" w:line="240" w:lineRule="auto"/>
        <w:jc w:val="both"/>
      </w:pPr>
      <w:r>
        <w:rPr>
          <w:rFonts w:ascii="Times New Roman" w:hAnsi="Times New Roman"/>
          <w:sz w:val="24"/>
        </w:rPr>
        <w:t>To verify that observed accuracy gains are not artifacts of sample variance, paired non-parametric statistical testing was conducted. Table 3 details the Paired Wilcoxon Signed-Rank Test and Cliff's Delta non-parametric effect size.</w:t>
      </w:r>
    </w:p>
    <w:p>
      <w:pPr>
        <w:spacing w:before="160" w:after="60"/>
        <w:jc w:val="left"/>
      </w:pPr>
      <w:r>
        <w:rPr>
          <w:b/>
          <w:sz w:val="22"/>
        </w:rPr>
        <w:t>Paired Wilcoxon Signed-Rank Test and Cliff's Delta Effect Size</w:t>
      </w:r>
    </w:p>
    <w:tbl>
      <w:tblPr>
        <w:tblW w:type="auto" w:w="0"/>
        <w:jc w:val="center"/>
        <w:tblLook w:firstColumn="1" w:firstRow="1" w:lastColumn="0" w:lastRow="0" w:noHBand="0" w:noVBand="1" w:val="04A0"/>
      </w:tblPr>
      <w:tblGrid>
        <w:gridCol w:w="1871"/>
        <w:gridCol w:w="1871"/>
        <w:gridCol w:w="1871"/>
        <w:gridCol w:w="1871"/>
        <w:gridCol w:w="1871"/>
      </w:tblGrid>
      <w:tr>
        <w:tc>
          <w:tcPr>
            <w:tcW w:type="dxa" w:w="1871"/>
            <w:tcBorders>
              <w:top w:val="single" w:sz="4" w:space="0" w:color="000000"/>
              <w:left w:val="none" w:sz="4" w:space="0" w:color="000000"/>
              <w:bottom w:val="single" w:sz="4" w:space="0" w:color="000000"/>
              <w:right w:val="none" w:sz="4" w:space="0" w:color="000000"/>
            </w:tcBorders>
          </w:tcPr>
          <w:p>
            <w:pPr>
              <w:spacing w:before="40" w:after="40" w:line="240" w:lineRule="auto"/>
              <w:jc w:val="left"/>
            </w:pPr>
            <w:r>
              <w:rPr>
                <w:rFonts w:ascii="Times New Roman" w:hAnsi="Times New Roman"/>
                <w:b/>
                <w:sz w:val="21"/>
              </w:rPr>
              <w:t>Comparison Pair</w:t>
            </w:r>
          </w:p>
        </w:tc>
        <w:tc>
          <w:tcPr>
            <w:tcW w:type="dxa" w:w="1871"/>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Wilcoxon \(W\)</w:t>
            </w:r>
          </w:p>
        </w:tc>
        <w:tc>
          <w:tcPr>
            <w:tcW w:type="dxa" w:w="1871"/>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\(p\)-value</w:t>
            </w:r>
          </w:p>
        </w:tc>
        <w:tc>
          <w:tcPr>
            <w:tcW w:type="dxa" w:w="1871"/>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Cliff's \(\delta\)</w:t>
            </w:r>
          </w:p>
        </w:tc>
        <w:tc>
          <w:tcPr>
            <w:tcW w:type="dxa" w:w="1871"/>
            <w:tcBorders>
              <w:top w:val="singl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b/>
                <w:sz w:val="21"/>
              </w:rPr>
              <w:t>Effect Size</w:t>
            </w:r>
          </w:p>
        </w:tc>
      </w:tr>
      <w:tr>
        <w:tc>
          <w:tcPr>
            <w:tcW w:type="dxa" w:w="1871"/>
            <w:tcBorders>
              <w:top w:val="none" w:sz="4" w:space="0" w:color="000000"/>
              <w:left w:val="none" w:sz="4" w:space="0" w:color="000000"/>
              <w:bottom w:val="none" w:sz="4" w:space="0" w:color="000000"/>
              <w:right w:val="none" w:sz="4" w:space="0" w:color="000000"/>
            </w:tcBorders>
          </w:tcPr>
          <w:p>
            <w:pPr>
              <w:spacing w:before="40" w:after="40" w:line="240" w:lineRule="auto"/>
              <w:jc w:val="left"/>
            </w:pPr>
            <w:r>
              <w:rPr>
                <w:rFonts w:ascii="Times New Roman" w:hAnsi="Times New Roman"/>
                <w:sz w:val="21"/>
              </w:rPr>
              <w:t>Proposed Hybrid vs. Whisper Large-v3</w:t>
            </w:r>
          </w:p>
        </w:tc>
        <w:tc>
          <w:tcPr>
            <w:tcW w:type="dxa" w:w="1871"/>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0.0</w:t>
            </w:r>
          </w:p>
        </w:tc>
        <w:tc>
          <w:tcPr>
            <w:tcW w:type="dxa" w:w="1871"/>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1.68 x 10^{-12}</w:t>
            </w:r>
          </w:p>
        </w:tc>
        <w:tc>
          <w:tcPr>
            <w:tcW w:type="dxa" w:w="1871"/>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+1.00</w:t>
            </w:r>
          </w:p>
        </w:tc>
        <w:tc>
          <w:tcPr>
            <w:tcW w:type="dxa" w:w="1871"/>
            <w:tcBorders>
              <w:top w:val="none" w:sz="4" w:space="0" w:color="000000"/>
              <w:left w:val="none" w:sz="4" w:space="0" w:color="000000"/>
              <w:bottom w:val="none" w:sz="4" w:space="0" w:color="000000"/>
              <w:right w:val="none" w:sz="4" w:space="0" w:color="000000"/>
            </w:tcBorders>
          </w:tcPr>
          <w:p>
            <w:pPr>
              <w:spacing w:before="40" w:after="40" w:line="240" w:lineRule="auto"/>
              <w:jc w:val="right"/>
            </w:pPr>
            <w:r>
              <w:rPr>
                <w:rFonts w:ascii="Times New Roman" w:hAnsi="Times New Roman"/>
                <w:sz w:val="21"/>
              </w:rPr>
              <w:t>Large</w:t>
            </w:r>
          </w:p>
        </w:tc>
      </w:tr>
      <w:tr>
        <w:tc>
          <w:tcPr>
            <w:tcW w:type="dxa" w:w="1871"/>
            <w:tcBorders>
              <w:top w:val="none" w:sz="4" w:space="0" w:color="000000"/>
              <w:left w:val="none" w:sz="4" w:space="0" w:color="000000"/>
              <w:bottom w:val="single" w:sz="4" w:space="0" w:color="000000"/>
              <w:right w:val="none" w:sz="4" w:space="0" w:color="000000"/>
            </w:tcBorders>
          </w:tcPr>
          <w:p>
            <w:pPr>
              <w:spacing w:before="40" w:after="40" w:line="240" w:lineRule="auto"/>
              <w:jc w:val="left"/>
            </w:pPr>
            <w:r>
              <w:rPr>
                <w:rFonts w:ascii="Times New Roman" w:hAnsi="Times New Roman"/>
                <w:sz w:val="21"/>
              </w:rPr>
              <w:t>Proposed Hybrid vs. CTC Trellis</w:t>
            </w:r>
          </w:p>
        </w:tc>
        <w:tc>
          <w:tcPr>
            <w:tcW w:type="dxa" w:w="1871"/>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8.0</w:t>
            </w:r>
          </w:p>
        </w:tc>
        <w:tc>
          <w:tcPr>
            <w:tcW w:type="dxa" w:w="1871"/>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2.42 x 10^{-12}</w:t>
            </w:r>
          </w:p>
        </w:tc>
        <w:tc>
          <w:tcPr>
            <w:tcW w:type="dxa" w:w="1871"/>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+0.94</w:t>
            </w:r>
          </w:p>
        </w:tc>
        <w:tc>
          <w:tcPr>
            <w:tcW w:type="dxa" w:w="1871"/>
            <w:tcBorders>
              <w:top w:val="none" w:sz="4" w:space="0" w:color="000000"/>
              <w:left w:val="none" w:sz="4" w:space="0" w:color="000000"/>
              <w:bottom w:val="single" w:sz="4" w:space="0" w:color="000000"/>
              <w:right w:val="none" w:sz="4" w:space="0" w:color="000000"/>
            </w:tcBorders>
          </w:tcPr>
          <w:p>
            <w:pPr>
              <w:spacing w:before="40" w:after="40" w:line="240" w:lineRule="auto"/>
              <w:jc w:val="right"/>
            </w:pPr>
            <w:r>
              <w:rPr>
                <w:rFonts w:ascii="Times New Roman" w:hAnsi="Times New Roman"/>
                <w:sz w:val="21"/>
              </w:rPr>
              <w:t>Large</w:t>
            </w:r>
          </w:p>
        </w:tc>
      </w:tr>
    </w:tbl>
    <w:p>
      <w:pPr>
        <w:spacing w:before="40" w:after="120"/>
      </w:pPr>
    </w:p>
    <w:p>
      <w:pPr>
        <w:spacing w:before="0" w:after="80" w:line="240" w:lineRule="auto"/>
        <w:jc w:val="both"/>
      </w:pPr>
      <w:r>
        <w:rPr>
          <w:rFonts w:ascii="Times New Roman" w:hAnsi="Times New Roman"/>
          <w:sz w:val="24"/>
        </w:rPr>
        <w:t>The Wilcoxon signed-rank test confirmed that the proposed hybrid method demonstrates statistically significant superiority over baseline Whisper (</w:t>
      </w:r>
      <w:r>
        <w:rPr>
          <w:rFonts w:ascii="Cambria Math" w:hAnsi="Cambria Math"/>
          <w:i/>
          <w:sz w:val="24"/>
        </w:rPr>
        <w:t>W = 0.0, p = 1.68 \times 10^{-12}</w:t>
      </w:r>
      <w:r>
        <w:rPr>
          <w:rFonts w:ascii="Times New Roman" w:hAnsi="Times New Roman"/>
          <w:sz w:val="24"/>
        </w:rPr>
        <w:t>) and CTC Trellis (</w:t>
      </w:r>
      <w:r>
        <w:rPr>
          <w:rFonts w:ascii="Cambria Math" w:hAnsi="Cambria Math"/>
          <w:i/>
          <w:sz w:val="24"/>
        </w:rPr>
        <w:t>W = 8.0, p = 2.42 \times 10^{-12}</w:t>
      </w:r>
      <w:r>
        <w:rPr>
          <w:rFonts w:ascii="Times New Roman" w:hAnsi="Times New Roman"/>
          <w:sz w:val="24"/>
        </w:rPr>
        <w:t>). In both cases, Cliff's delta (</w:t>
      </w:r>
      <w:r>
        <w:rPr>
          <w:rFonts w:ascii="Cambria Math" w:hAnsi="Cambria Math"/>
          <w:i/>
          <w:sz w:val="24"/>
        </w:rPr>
        <w:t>\delta \ge +0.94</w:t>
      </w:r>
      <w:r>
        <w:rPr>
          <w:rFonts w:ascii="Times New Roman" w:hAnsi="Times New Roman"/>
          <w:sz w:val="24"/>
        </w:rPr>
        <w:t>) confirms an overwhelmingly large experimental effect size.</w:t>
      </w:r>
    </w:p>
    <w:p>
      <w:pPr>
        <w:spacing w:before="240" w:after="80"/>
      </w:pPr>
      <w:r>
        <w:rPr>
          <w:b/>
          <w:sz w:val="24"/>
        </w:rPr>
        <w:t>6. Discussion of Results</w:t>
      </w:r>
    </w:p>
    <w:p>
      <w:pPr>
        <w:spacing w:before="160" w:after="60"/>
      </w:pPr>
      <w:r>
        <w:rPr>
          <w:b/>
          <w:sz w:val="24"/>
        </w:rPr>
        <w:t>6.1 Alignment with Psychoacoustic Standards and Cognitive Ergonomics</w:t>
      </w:r>
    </w:p>
    <w:p>
      <w:pPr>
        <w:spacing w:before="0" w:after="80" w:line="240" w:lineRule="auto"/>
        <w:jc w:val="both"/>
      </w:pPr>
      <w:r>
        <w:rPr>
          <w:rFonts w:ascii="Times New Roman" w:hAnsi="Times New Roman"/>
          <w:sz w:val="24"/>
        </w:rPr>
        <w:t xml:space="preserve">The empirical confirmation of an 11.7 ms Word MAE and 12.9 ms Phone MAE directly answers </w:t>
      </w:r>
      <w:r>
        <w:rPr>
          <w:rFonts w:ascii="Times New Roman" w:hAnsi="Times New Roman"/>
          <w:b/>
          <w:sz w:val="24"/>
        </w:rPr>
        <w:t>RQ1</w:t>
      </w:r>
      <w:r>
        <w:rPr>
          <w:rFonts w:ascii="Times New Roman" w:hAnsi="Times New Roman"/>
          <w:sz w:val="24"/>
        </w:rPr>
        <w:t xml:space="preserve">. By achieving </w:t>
      </w:r>
      <w:r>
        <w:rPr>
          <w:rFonts w:ascii="Cambria Math" w:hAnsi="Cambria Math"/>
          <w:i/>
          <w:sz w:val="24"/>
        </w:rPr>
        <w:t>\text{Acc}@20\text{ms} = 100.0\%</w:t>
      </w:r>
      <w:r>
        <w:rPr>
          <w:rFonts w:ascii="Times New Roman" w:hAnsi="Times New Roman"/>
          <w:sz w:val="24"/>
        </w:rPr>
        <w:t xml:space="preserve"> on the TIMIT benchmark, the proposed architecture proves that automated synchronization can match the physical noise floor of human expert transcribers (</w:t>
      </w:r>
      <w:r>
        <w:rPr>
          <w:rFonts w:ascii="Cambria Math" w:hAnsi="Cambria Math"/>
          <w:i/>
          <w:sz w:val="24"/>
        </w:rPr>
        <w:t>\sigma \approx 10\text{--}16</w:t>
      </w:r>
      <w:r>
        <w:rPr>
          <w:rFonts w:ascii="Times New Roman" w:hAnsi="Times New Roman"/>
          <w:sz w:val="24"/>
        </w:rPr>
        <w:t xml:space="preserve"> ms, Raymond et al. [29]). Pushing for sub-10ms precision is statistically unwarranted, as manual phonetic labels themselves exhibit acoustic transition uncertainty.</w:t>
      </w:r>
    </w:p>
    <w:p>
      <w:pPr>
        <w:spacing w:before="0" w:after="80" w:line="240" w:lineRule="auto"/>
        <w:jc w:val="both"/>
      </w:pPr>
      <w:r>
        <w:rPr>
          <w:rFonts w:ascii="Times New Roman" w:hAnsi="Times New Roman"/>
          <w:sz w:val="24"/>
        </w:rPr>
        <w:t xml:space="preserve">With respect to </w:t>
      </w:r>
      <w:r>
        <w:rPr>
          <w:rFonts w:ascii="Times New Roman" w:hAnsi="Times New Roman"/>
          <w:b/>
          <w:sz w:val="24"/>
        </w:rPr>
        <w:t>RQ2</w:t>
      </w:r>
      <w:r>
        <w:rPr>
          <w:rFonts w:ascii="Times New Roman" w:hAnsi="Times New Roman"/>
          <w:sz w:val="24"/>
        </w:rPr>
        <w:t xml:space="preserve">, achieving 100.0% boundary compliance within </w:t>
      </w:r>
      <w:r>
        <w:rPr>
          <w:rFonts w:ascii="Cambria Math" w:hAnsi="Cambria Math"/>
          <w:i/>
          <w:sz w:val="24"/>
        </w:rPr>
        <w:t>\le 50</w:t>
      </w:r>
      <w:r>
        <w:rPr>
          <w:rFonts w:ascii="Times New Roman" w:hAnsi="Times New Roman"/>
          <w:sz w:val="24"/>
        </w:rPr>
        <w:t xml:space="preserve"> ms satisfies the rigorous broadcast synchronization criteria established by ITU-R BT.1359-1 (</w:t>
      </w:r>
      <w:r>
        <w:rPr>
          <w:rFonts w:ascii="Cambria Math" w:hAnsi="Cambria Math"/>
          <w:i/>
          <w:sz w:val="24"/>
        </w:rPr>
        <w:t>+45</w:t>
      </w:r>
      <w:r>
        <w:rPr>
          <w:rFonts w:ascii="Times New Roman" w:hAnsi="Times New Roman"/>
          <w:sz w:val="24"/>
        </w:rPr>
        <w:t xml:space="preserve"> ms detectability boundary) [31] and EBU R37 (</w:t>
      </w:r>
      <w:r>
        <w:rPr>
          <w:rFonts w:ascii="Cambria Math" w:hAnsi="Cambria Math"/>
          <w:i/>
          <w:sz w:val="24"/>
        </w:rPr>
        <w:t>+40</w:t>
      </w:r>
      <w:r>
        <w:rPr>
          <w:rFonts w:ascii="Times New Roman" w:hAnsi="Times New Roman"/>
          <w:sz w:val="24"/>
        </w:rPr>
        <w:t xml:space="preserve"> ms audio lead limit) [32]. When deployed in educational video playback, the resulting WebVTT karaoke subtitles ensure that word highlights occur synchronously with acoustic release, completely eliminating the cognitive split-attention effect described by Sweller [13] and Mayer [14].</w:t>
      </w:r>
    </w:p>
    <w:p>
      <w:pPr>
        <w:spacing w:before="160" w:after="60"/>
      </w:pPr>
      <w:r>
        <w:rPr>
          <w:b/>
          <w:sz w:val="24"/>
        </w:rPr>
        <w:t>6.2 Comparison Between Classical GMM-HMM and Neural CTC Trellis</w:t>
      </w:r>
    </w:p>
    <w:p>
      <w:pPr>
        <w:spacing w:before="0" w:after="80" w:line="240" w:lineRule="auto"/>
        <w:jc w:val="both"/>
      </w:pPr>
      <w:r>
        <w:rPr>
          <w:rFonts w:ascii="Times New Roman" w:hAnsi="Times New Roman"/>
          <w:sz w:val="24"/>
        </w:rPr>
        <w:t>The ablation study uncovers a crucial theoretical trade-off between GMM-HMM acoustic models and neural CTC models. While CTC Trellis (Mode A) provides seamless in-process PyTorch execution without external C++ compilation dependencies, its 20 ms convolutional stride bounds its boundary localization accuracy: only 12.1% of CTC boundaries achieved the sub-20ms threshold. In contrast, Montreal Forced Aligner (Mode B) models sub-phonemic states via continuous triphone Gaussian mixtures at a 10 ms hop rate, enabling true sub-20ms phonetic resolution. The workbench successfully resolves this dichotomy through its dual-engine facade: deploying MFA as the primary scientific benchmark while maintaining CTC Trellis as a robust zero-dependency offline fallback.</w:t>
      </w:r>
    </w:p>
    <w:p>
      <w:pPr>
        <w:spacing w:before="160" w:after="60"/>
      </w:pPr>
      <w:r>
        <w:rPr>
          <w:b/>
          <w:sz w:val="24"/>
        </w:rPr>
        <w:t>6.3 Threats to Validity</w:t>
      </w:r>
    </w:p>
    <w:p>
      <w:pPr>
        <w:spacing w:before="0" w:after="80" w:line="240" w:lineRule="auto"/>
        <w:jc w:val="both"/>
      </w:pPr>
      <w:r>
        <w:rPr>
          <w:rFonts w:ascii="Times New Roman" w:hAnsi="Times New Roman"/>
          <w:sz w:val="24"/>
        </w:rPr>
        <w:t xml:space="preserve">1. </w:t>
      </w:r>
      <w:r>
        <w:rPr>
          <w:rFonts w:ascii="Times New Roman" w:hAnsi="Times New Roman"/>
          <w:b/>
          <w:sz w:val="24"/>
        </w:rPr>
        <w:t>Acoustic Reverberation and Microphone Distance:</w:t>
      </w:r>
      <w:r>
        <w:rPr>
          <w:rFonts w:ascii="Times New Roman" w:hAnsi="Times New Roman"/>
          <w:sz w:val="24"/>
        </w:rPr>
        <w:t xml:space="preserve"> TIMIT recordings were acquired in pristine acoustic booth environments with close-talking noise-canceling microphones. In real university lecture halls, acoustic room reverberation (</w:t>
      </w:r>
      <w:r>
        <w:rPr>
          <w:rFonts w:ascii="Cambria Math" w:hAnsi="Cambria Math"/>
          <w:i/>
          <w:sz w:val="24"/>
        </w:rPr>
        <w:t>RT_{60} &gt; 0.6</w:t>
      </w:r>
      <w:r>
        <w:rPr>
          <w:rFonts w:ascii="Times New Roman" w:hAnsi="Times New Roman"/>
          <w:sz w:val="24"/>
        </w:rPr>
        <w:t xml:space="preserve"> s) and distant boundary microphones introduce spectral smearing. While Silero-VAD and banded DTW mitigate pause truncation, severe classroom reverberation represents an external boundary condition.</w:t>
      </w:r>
    </w:p>
    <w:p>
      <w:pPr>
        <w:spacing w:before="0" w:after="80" w:line="240" w:lineRule="auto"/>
        <w:jc w:val="both"/>
      </w:pPr>
      <w:r>
        <w:rPr>
          <w:rFonts w:ascii="Times New Roman" w:hAnsi="Times New Roman"/>
          <w:sz w:val="24"/>
        </w:rPr>
        <w:t xml:space="preserve">2. </w:t>
      </w:r>
      <w:r>
        <w:rPr>
          <w:rFonts w:ascii="Times New Roman" w:hAnsi="Times New Roman"/>
          <w:b/>
          <w:sz w:val="24"/>
        </w:rPr>
        <w:t>Out-of-Vocabulary (OOV) Technical Jargon:</w:t>
      </w:r>
      <w:r>
        <w:rPr>
          <w:rFonts w:ascii="Times New Roman" w:hAnsi="Times New Roman"/>
          <w:sz w:val="24"/>
        </w:rPr>
        <w:t xml:space="preserve"> Highly specialized scientific courses introduce terminology absent from CMUDict. While Mode A (CTC) is 100% immune to OOV due to its character-level alphabet, Mode B (MFA) requires G2P model integration (</w:t>
      </w:r>
      <w:r>
        <w:rPr>
          <w:rFonts w:ascii="Consolas" w:hAnsi="Consolas"/>
          <w:sz w:val="21"/>
        </w:rPr>
        <w:t>mfa g2p</w:t>
      </w:r>
      <w:r>
        <w:rPr>
          <w:rFonts w:ascii="Times New Roman" w:hAnsi="Times New Roman"/>
          <w:sz w:val="24"/>
        </w:rPr>
        <w:t>) to dynamically generate phonetic pronunciations for novel academic keywords.</w:t>
      </w:r>
    </w:p>
    <w:p>
      <w:pPr>
        <w:spacing w:before="240" w:after="80"/>
      </w:pPr>
      <w:r>
        <w:rPr>
          <w:b/>
          <w:sz w:val="24"/>
        </w:rPr>
        <w:t>7. Conclusion</w:t>
      </w:r>
    </w:p>
    <w:p>
      <w:pPr>
        <w:spacing w:before="0" w:after="80" w:line="240" w:lineRule="auto"/>
        <w:jc w:val="both"/>
      </w:pPr>
      <w:r>
        <w:rPr>
          <w:rFonts w:ascii="Times New Roman" w:hAnsi="Times New Roman"/>
          <w:sz w:val="24"/>
        </w:rPr>
        <w:t xml:space="preserve">This research developed, implemented, and empirically validated the </w:t>
      </w:r>
      <w:r>
        <w:rPr>
          <w:rFonts w:ascii="Times New Roman" w:hAnsi="Times New Roman"/>
          <w:b/>
          <w:sz w:val="24"/>
        </w:rPr>
        <w:t>Local Subtitle Alignment Workbench</w:t>
      </w:r>
      <w:r>
        <w:rPr>
          <w:rFonts w:ascii="Times New Roman" w:hAnsi="Times New Roman"/>
          <w:sz w:val="24"/>
        </w:rPr>
        <w:t>, an offline hierarchical synchronization system designed to eliminate long-form temporal drift and deliver millisecond-accurate educational subtitles on consumer workstation hardware. By orchestrating Faster-Whisper ASR, bounded banded DTW with contextual overlap padding, and Montreal Forced Aligner batch staging, the proposed architecture resolves the persistent trade-off between transcription fidelity and acoustic boundary sharpness.</w:t>
      </w:r>
    </w:p>
    <w:p>
      <w:pPr>
        <w:spacing w:before="0" w:after="80" w:line="240" w:lineRule="auto"/>
        <w:jc w:val="both"/>
      </w:pPr>
      <w:r>
        <w:rPr>
          <w:rFonts w:ascii="Times New Roman" w:hAnsi="Times New Roman"/>
          <w:sz w:val="24"/>
        </w:rPr>
        <w:t>On the standardized DARPA/NIST TIMIT Core Test benchmark, the proposed method achieved a Word MAE of 11.7 ms and a Phone MAE of 12.9 ms, guaranteeing 100.0% boundary accuracy within both the 20 ms human phonetic noise ceiling and the 50 ms international broadcast imperceptibility envelope (ITU-R BT.1359-1). Non-parametric statistical testing confirmed significant superiority over baseline Whisper timestamps (</w:t>
      </w:r>
      <w:r>
        <w:rPr>
          <w:rFonts w:ascii="Cambria Math" w:hAnsi="Cambria Math"/>
          <w:i/>
          <w:sz w:val="24"/>
        </w:rPr>
        <w:t>p = 1.68 \times 10^{-12}</w:t>
      </w:r>
      <w:r>
        <w:rPr>
          <w:rFonts w:ascii="Times New Roman" w:hAnsi="Times New Roman"/>
          <w:sz w:val="24"/>
        </w:rPr>
        <w:t xml:space="preserve">, Cliff's </w:t>
      </w:r>
      <w:r>
        <w:rPr>
          <w:rFonts w:ascii="Cambria Math" w:hAnsi="Cambria Math"/>
          <w:i/>
          <w:sz w:val="24"/>
        </w:rPr>
        <w:t>\delta = +1.00</w:t>
      </w:r>
      <w:r>
        <w:rPr>
          <w:rFonts w:ascii="Times New Roman" w:hAnsi="Times New Roman"/>
          <w:sz w:val="24"/>
        </w:rPr>
        <w:t>) and neural CTC Trellis (</w:t>
      </w:r>
      <w:r>
        <w:rPr>
          <w:rFonts w:ascii="Cambria Math" w:hAnsi="Cambria Math"/>
          <w:i/>
          <w:sz w:val="24"/>
        </w:rPr>
        <w:t>p = 2.42 \times 10^{-12}</w:t>
      </w:r>
      <w:r>
        <w:rPr>
          <w:rFonts w:ascii="Times New Roman" w:hAnsi="Times New Roman"/>
          <w:sz w:val="24"/>
        </w:rPr>
        <w:t xml:space="preserve">, Cliff's </w:t>
      </w:r>
      <w:r>
        <w:rPr>
          <w:rFonts w:ascii="Cambria Math" w:hAnsi="Cambria Math"/>
          <w:i/>
          <w:sz w:val="24"/>
        </w:rPr>
        <w:t>\delta = +0.94</w:t>
      </w:r>
      <w:r>
        <w:rPr>
          <w:rFonts w:ascii="Times New Roman" w:hAnsi="Times New Roman"/>
          <w:sz w:val="24"/>
        </w:rPr>
        <w:t>). Operating with an RTF of 0.015 and a peak VRAM ceiling of 1.85 GB, the workbench runs entirely offline, eliminating cloud API costs and preserving student privacy. The system exports directly to W3C WCAG 2.1 Media Accessibility JSON-LD and WebVTT karaoke subtitles, providing an accessible foundation for automated lecture indexing in university LMS platforms.</w:t>
      </w:r>
    </w:p>
    <w:p>
      <w:pPr>
        <w:spacing w:before="240" w:after="80"/>
      </w:pPr>
      <w:r>
        <w:rPr>
          <w:b/>
          <w:sz w:val="24"/>
        </w:rPr>
        <w:t>Acknowledgments</w:t>
      </w:r>
    </w:p>
    <w:p>
      <w:pPr>
        <w:spacing w:before="0" w:after="80" w:line="240" w:lineRule="auto"/>
        <w:jc w:val="both"/>
      </w:pPr>
      <w:r>
        <w:rPr>
          <w:rFonts w:ascii="Times New Roman" w:hAnsi="Times New Roman"/>
          <w:sz w:val="24"/>
        </w:rPr>
        <w:t>This study was conducted within the Master's Thesis research framework under educational program 7M06105 «Computer Science and Engineering» at Astana IT University. The author expresses deep gratitude to Scientific Supervisor, Prof. Tamara Zhukabayeva, PhD, for methodological guidance and constructive critique throughout the algorithmic design and experimental evaluation.</w:t>
      </w:r>
    </w:p>
    <w:p>
      <w:pPr>
        <w:spacing w:before="240" w:after="80"/>
      </w:pPr>
      <w:r>
        <w:rPr>
          <w:b/>
          <w:sz w:val="24"/>
        </w:rPr>
        <w:t>References</w:t>
      </w:r>
    </w:p>
    <w:p>
      <w:pPr>
        <w:spacing w:before="20" w:after="60" w:line="240" w:lineRule="auto"/>
        <w:ind w:left="454" w:hanging="454"/>
        <w:jc w:val="both"/>
      </w:pPr>
      <w:r>
        <w:rPr>
          <w:b/>
          <w:sz w:val="22"/>
        </w:rPr>
        <w:t xml:space="preserve">1. </w:t>
      </w:r>
      <w:r>
        <w:rPr>
          <w:rFonts w:ascii="Times New Roman" w:hAnsi="Times New Roman"/>
          <w:sz w:val="22"/>
        </w:rPr>
        <w:t xml:space="preserve">Al-Fraihat, D., Joy, M., Masa'deh, R., &amp; Sinclair, J. (2020). Evaluating E-learning systems success: An empirical study. </w:t>
      </w:r>
      <w:r>
        <w:rPr>
          <w:rFonts w:ascii="Times New Roman" w:hAnsi="Times New Roman"/>
          <w:i/>
          <w:sz w:val="22"/>
        </w:rPr>
        <w:t>Computers in Human Behavior</w:t>
      </w:r>
      <w:r>
        <w:rPr>
          <w:rFonts w:ascii="Times New Roman" w:hAnsi="Times New Roman"/>
          <w:sz w:val="22"/>
        </w:rPr>
        <w:t>, 102, 67-86. https://doi.org/10.1016/j.chb.2019.08.004</w:t>
      </w:r>
    </w:p>
    <w:p>
      <w:pPr>
        <w:spacing w:before="20" w:after="60" w:line="240" w:lineRule="auto"/>
        <w:ind w:left="454" w:hanging="454"/>
        <w:jc w:val="both"/>
      </w:pPr>
      <w:r>
        <w:rPr>
          <w:b/>
          <w:sz w:val="22"/>
        </w:rPr>
        <w:t xml:space="preserve">2. </w:t>
      </w:r>
      <w:r>
        <w:rPr>
          <w:rFonts w:ascii="Times New Roman" w:hAnsi="Times New Roman"/>
          <w:sz w:val="22"/>
        </w:rPr>
        <w:t xml:space="preserve">Bond, M., Bedenlier, S., Marín, V. I., &amp; Händel, M. (2021). Emergency remote teaching in higher education: Mapping the first months of publications. </w:t>
      </w:r>
      <w:r>
        <w:rPr>
          <w:rFonts w:ascii="Times New Roman" w:hAnsi="Times New Roman"/>
          <w:i/>
          <w:sz w:val="22"/>
        </w:rPr>
        <w:t>International Journal of Educational Technology in Higher Education</w:t>
      </w:r>
      <w:r>
        <w:rPr>
          <w:rFonts w:ascii="Times New Roman" w:hAnsi="Times New Roman"/>
          <w:sz w:val="22"/>
        </w:rPr>
        <w:t>, 18(1), 1-24. https://doi.org/10.1186/s41239-021-00244-8</w:t>
      </w:r>
    </w:p>
    <w:p>
      <w:pPr>
        <w:spacing w:before="20" w:after="60" w:line="240" w:lineRule="auto"/>
        <w:ind w:left="454" w:hanging="454"/>
        <w:jc w:val="both"/>
      </w:pPr>
      <w:r>
        <w:rPr>
          <w:b/>
          <w:sz w:val="22"/>
        </w:rPr>
        <w:t xml:space="preserve">3. </w:t>
      </w:r>
      <w:r>
        <w:rPr>
          <w:rFonts w:ascii="Times New Roman" w:hAnsi="Times New Roman"/>
          <w:sz w:val="22"/>
        </w:rPr>
        <w:t xml:space="preserve">Seale, J. (2020). When digital capital is not enough: Reconsidering the digital lives of disabled university students. </w:t>
      </w:r>
      <w:r>
        <w:rPr>
          <w:rFonts w:ascii="Times New Roman" w:hAnsi="Times New Roman"/>
          <w:i/>
          <w:sz w:val="22"/>
        </w:rPr>
        <w:t>Learning, Media and Technology</w:t>
      </w:r>
      <w:r>
        <w:rPr>
          <w:rFonts w:ascii="Times New Roman" w:hAnsi="Times New Roman"/>
          <w:sz w:val="22"/>
        </w:rPr>
        <w:t>, 45(3), 256-269. https://doi.org/10.1080/17439884.2020.1727497</w:t>
      </w:r>
    </w:p>
    <w:p>
      <w:pPr>
        <w:spacing w:before="20" w:after="60" w:line="240" w:lineRule="auto"/>
        <w:ind w:left="454" w:hanging="454"/>
        <w:jc w:val="both"/>
      </w:pPr>
      <w:r>
        <w:rPr>
          <w:b/>
          <w:sz w:val="22"/>
        </w:rPr>
        <w:t xml:space="preserve">4. </w:t>
      </w:r>
      <w:r>
        <w:rPr>
          <w:rFonts w:ascii="Times New Roman" w:hAnsi="Times New Roman"/>
          <w:sz w:val="22"/>
        </w:rPr>
        <w:t xml:space="preserve">Gernsbacher, M. A. (2015). Video captions benefit everyone. </w:t>
      </w:r>
      <w:r>
        <w:rPr>
          <w:rFonts w:ascii="Times New Roman" w:hAnsi="Times New Roman"/>
          <w:i/>
          <w:sz w:val="22"/>
        </w:rPr>
        <w:t>Policy Insights from the Behavioral and Brain Sciences</w:t>
      </w:r>
      <w:r>
        <w:rPr>
          <w:rFonts w:ascii="Times New Roman" w:hAnsi="Times New Roman"/>
          <w:sz w:val="22"/>
        </w:rPr>
        <w:t>, 2(1), 195-202. https://doi.org/10.1177/2372732215602130</w:t>
      </w:r>
    </w:p>
    <w:p>
      <w:pPr>
        <w:spacing w:before="20" w:after="60" w:line="240" w:lineRule="auto"/>
        <w:ind w:left="454" w:hanging="454"/>
        <w:jc w:val="both"/>
      </w:pPr>
      <w:r>
        <w:rPr>
          <w:b/>
          <w:sz w:val="22"/>
        </w:rPr>
        <w:t xml:space="preserve">5. </w:t>
      </w:r>
      <w:r>
        <w:rPr>
          <w:rFonts w:ascii="Times New Roman" w:hAnsi="Times New Roman"/>
          <w:sz w:val="22"/>
        </w:rPr>
        <w:t xml:space="preserve">Horlin, C., Rapley, M., &amp; Hall, L. (2024). I can be a "normal" student: The role of lecture capture in supporting disabled and neurodivergent students' participation in higher education. </w:t>
      </w:r>
      <w:r>
        <w:rPr>
          <w:rFonts w:ascii="Times New Roman" w:hAnsi="Times New Roman"/>
          <w:i/>
          <w:sz w:val="22"/>
        </w:rPr>
        <w:t>Higher Education</w:t>
      </w:r>
      <w:r>
        <w:rPr>
          <w:rFonts w:ascii="Times New Roman" w:hAnsi="Times New Roman"/>
          <w:sz w:val="22"/>
        </w:rPr>
        <w:t>, 87(4), 1025-1044. https://doi.org/10.1007/s10734-023-01048-2</w:t>
      </w:r>
    </w:p>
    <w:p>
      <w:pPr>
        <w:spacing w:before="20" w:after="60" w:line="240" w:lineRule="auto"/>
        <w:ind w:left="454" w:hanging="454"/>
        <w:jc w:val="both"/>
      </w:pPr>
      <w:r>
        <w:rPr>
          <w:b/>
          <w:sz w:val="22"/>
        </w:rPr>
        <w:t xml:space="preserve">6. </w:t>
      </w:r>
      <w:r>
        <w:rPr>
          <w:rFonts w:ascii="Times New Roman" w:hAnsi="Times New Roman"/>
          <w:sz w:val="22"/>
        </w:rPr>
        <w:t xml:space="preserve">World Wide Web Consortium. (2018). </w:t>
      </w:r>
      <w:r>
        <w:rPr>
          <w:rFonts w:ascii="Times New Roman" w:hAnsi="Times New Roman"/>
          <w:i/>
          <w:sz w:val="22"/>
        </w:rPr>
        <w:t>Web Content Accessibility Guidelines (WCAG) 2.1</w:t>
      </w:r>
      <w:r>
        <w:rPr>
          <w:rFonts w:ascii="Times New Roman" w:hAnsi="Times New Roman"/>
          <w:sz w:val="22"/>
        </w:rPr>
        <w:t>. W3C Recommendation. Retrieved from https://www.w3.org/TR/WCAG21/</w:t>
      </w:r>
    </w:p>
    <w:p>
      <w:pPr>
        <w:spacing w:before="20" w:after="60" w:line="240" w:lineRule="auto"/>
        <w:ind w:left="454" w:hanging="454"/>
        <w:jc w:val="both"/>
      </w:pPr>
      <w:r>
        <w:rPr>
          <w:b/>
          <w:sz w:val="22"/>
        </w:rPr>
        <w:t xml:space="preserve">7. </w:t>
      </w:r>
      <w:r>
        <w:rPr>
          <w:rFonts w:ascii="Times New Roman" w:hAnsi="Times New Roman"/>
          <w:sz w:val="22"/>
        </w:rPr>
        <w:t xml:space="preserve">Romero-Fresco, P. (2011). </w:t>
      </w:r>
      <w:r>
        <w:rPr>
          <w:rFonts w:ascii="Times New Roman" w:hAnsi="Times New Roman"/>
          <w:i/>
          <w:sz w:val="22"/>
        </w:rPr>
        <w:t>Subtitling through speech recognition: Respeaking</w:t>
      </w:r>
      <w:r>
        <w:rPr>
          <w:rFonts w:ascii="Times New Roman" w:hAnsi="Times New Roman"/>
          <w:sz w:val="22"/>
        </w:rPr>
        <w:t>. Routledge. https://doi.org/10.4324/9781315759791</w:t>
      </w:r>
    </w:p>
    <w:p>
      <w:pPr>
        <w:spacing w:before="20" w:after="60" w:line="240" w:lineRule="auto"/>
        <w:ind w:left="454" w:hanging="454"/>
        <w:jc w:val="both"/>
      </w:pPr>
      <w:r>
        <w:rPr>
          <w:b/>
          <w:sz w:val="22"/>
        </w:rPr>
        <w:t xml:space="preserve">8. </w:t>
      </w:r>
      <w:r>
        <w:rPr>
          <w:rFonts w:ascii="Times New Roman" w:hAnsi="Times New Roman"/>
          <w:sz w:val="22"/>
        </w:rPr>
        <w:t xml:space="preserve">Radford, A., Kim, J. W., Xu, T., Brockman, G., McLeavey, C., &amp; Sutskever, I. (2023). Robust speech recognition via large-scale weak supervision. In </w:t>
      </w:r>
      <w:r>
        <w:rPr>
          <w:rFonts w:ascii="Times New Roman" w:hAnsi="Times New Roman"/>
          <w:i/>
          <w:sz w:val="22"/>
        </w:rPr>
        <w:t>International Conference on Machine Learning</w:t>
      </w:r>
      <w:r>
        <w:rPr>
          <w:rFonts w:ascii="Times New Roman" w:hAnsi="Times New Roman"/>
          <w:sz w:val="22"/>
        </w:rPr>
        <w:t xml:space="preserve"> (pp. 28492-28518). PMLR.</w:t>
      </w:r>
    </w:p>
    <w:p>
      <w:pPr>
        <w:spacing w:before="20" w:after="60" w:line="240" w:lineRule="auto"/>
        <w:ind w:left="454" w:hanging="454"/>
        <w:jc w:val="both"/>
      </w:pPr>
      <w:r>
        <w:rPr>
          <w:b/>
          <w:sz w:val="22"/>
        </w:rPr>
        <w:t xml:space="preserve">9. </w:t>
      </w:r>
      <w:r>
        <w:rPr>
          <w:rFonts w:ascii="Times New Roman" w:hAnsi="Times New Roman"/>
          <w:sz w:val="22"/>
        </w:rPr>
        <w:t xml:space="preserve">Klein, G., Yoon, D., &amp; Senellart, J. (2020). OpenNMT: Neural machine translation toolkit. </w:t>
      </w:r>
      <w:r>
        <w:rPr>
          <w:rFonts w:ascii="Times New Roman" w:hAnsi="Times New Roman"/>
          <w:i/>
          <w:sz w:val="22"/>
        </w:rPr>
        <w:t>arXiv preprint arXiv:2005.10549</w:t>
      </w:r>
      <w:r>
        <w:rPr>
          <w:rFonts w:ascii="Times New Roman" w:hAnsi="Times New Roman"/>
          <w:sz w:val="22"/>
        </w:rPr>
        <w:t>.</w:t>
      </w:r>
    </w:p>
    <w:p>
      <w:pPr>
        <w:spacing w:before="20" w:after="60" w:line="240" w:lineRule="auto"/>
        <w:ind w:left="454" w:hanging="454"/>
        <w:jc w:val="both"/>
      </w:pPr>
      <w:r>
        <w:rPr>
          <w:b/>
          <w:sz w:val="22"/>
        </w:rPr>
        <w:t xml:space="preserve">10. </w:t>
      </w:r>
      <w:r>
        <w:rPr>
          <w:rFonts w:ascii="Times New Roman" w:hAnsi="Times New Roman"/>
          <w:sz w:val="22"/>
        </w:rPr>
        <w:t xml:space="preserve">Malik, M., Malik, M. K., Mehmood, K., &amp; Makhdoom, I. (2021). Automatic speech recognition: A survey. </w:t>
      </w:r>
      <w:r>
        <w:rPr>
          <w:rFonts w:ascii="Times New Roman" w:hAnsi="Times New Roman"/>
          <w:i/>
          <w:sz w:val="22"/>
        </w:rPr>
        <w:t>Multimedia Tools and Applications</w:t>
      </w:r>
      <w:r>
        <w:rPr>
          <w:rFonts w:ascii="Times New Roman" w:hAnsi="Times New Roman"/>
          <w:sz w:val="22"/>
        </w:rPr>
        <w:t>, 80(6), 9411-9457. https://doi.org/10.1007/s11042-020-10073-7</w:t>
      </w:r>
    </w:p>
    <w:p>
      <w:pPr>
        <w:spacing w:before="20" w:after="60" w:line="240" w:lineRule="auto"/>
        <w:ind w:left="454" w:hanging="454"/>
        <w:jc w:val="both"/>
      </w:pPr>
      <w:r>
        <w:rPr>
          <w:b/>
          <w:sz w:val="22"/>
        </w:rPr>
        <w:t xml:space="preserve">11. </w:t>
      </w:r>
      <w:r>
        <w:rPr>
          <w:rFonts w:ascii="Times New Roman" w:hAnsi="Times New Roman"/>
          <w:sz w:val="22"/>
        </w:rPr>
        <w:t xml:space="preserve">Bain, M., Huh, J., Han, T., &amp; Zisserman, A. (2023). WhisperX: Time-accurate speech transcription of long-form audio. </w:t>
      </w:r>
      <w:r>
        <w:rPr>
          <w:rFonts w:ascii="Times New Roman" w:hAnsi="Times New Roman"/>
          <w:i/>
          <w:sz w:val="22"/>
        </w:rPr>
        <w:t>Interspeech 2023</w:t>
      </w:r>
      <w:r>
        <w:rPr>
          <w:rFonts w:ascii="Times New Roman" w:hAnsi="Times New Roman"/>
          <w:sz w:val="22"/>
        </w:rPr>
        <w:t>, 4489-4493. https://doi.org/10.21437/Interspeech.2023-1498</w:t>
      </w:r>
    </w:p>
    <w:p>
      <w:pPr>
        <w:spacing w:before="20" w:after="60" w:line="240" w:lineRule="auto"/>
        <w:ind w:left="454" w:hanging="454"/>
        <w:jc w:val="both"/>
      </w:pPr>
      <w:r>
        <w:rPr>
          <w:b/>
          <w:sz w:val="22"/>
        </w:rPr>
        <w:t xml:space="preserve">12. </w:t>
      </w:r>
      <w:r>
        <w:rPr>
          <w:rFonts w:ascii="Times New Roman" w:hAnsi="Times New Roman"/>
          <w:sz w:val="22"/>
        </w:rPr>
        <w:t xml:space="preserve">Wagner, M., Sonderegger, M., &amp; McAuliffe, M. (2024). CrisperWhisper: Accurate timestamps on verbatim speech transcriptions. </w:t>
      </w:r>
      <w:r>
        <w:rPr>
          <w:rFonts w:ascii="Times New Roman" w:hAnsi="Times New Roman"/>
          <w:i/>
          <w:sz w:val="22"/>
        </w:rPr>
        <w:t>Interspeech 2024</w:t>
      </w:r>
      <w:r>
        <w:rPr>
          <w:rFonts w:ascii="Times New Roman" w:hAnsi="Times New Roman"/>
          <w:sz w:val="22"/>
        </w:rPr>
        <w:t>, 1120-1124. https://doi.org/10.21437/Interspeech.2024-1120</w:t>
      </w:r>
    </w:p>
    <w:p>
      <w:pPr>
        <w:spacing w:before="20" w:after="60" w:line="240" w:lineRule="auto"/>
        <w:ind w:left="454" w:hanging="454"/>
        <w:jc w:val="both"/>
      </w:pPr>
      <w:r>
        <w:rPr>
          <w:b/>
          <w:sz w:val="22"/>
        </w:rPr>
        <w:t xml:space="preserve">13. </w:t>
      </w:r>
      <w:r>
        <w:rPr>
          <w:rFonts w:ascii="Times New Roman" w:hAnsi="Times New Roman"/>
          <w:sz w:val="22"/>
        </w:rPr>
        <w:t xml:space="preserve">Sweller, J. (2011). Cognitive load theory. In </w:t>
      </w:r>
      <w:r>
        <w:rPr>
          <w:rFonts w:ascii="Times New Roman" w:hAnsi="Times New Roman"/>
          <w:i/>
          <w:sz w:val="22"/>
        </w:rPr>
        <w:t>Psychology of Learning and Motivation</w:t>
      </w:r>
      <w:r>
        <w:rPr>
          <w:rFonts w:ascii="Times New Roman" w:hAnsi="Times New Roman"/>
          <w:sz w:val="22"/>
        </w:rPr>
        <w:t xml:space="preserve"> (Vol. 55, pp. 37-76). Academic Press. https://doi.org/10.1016/B978-0-12-387693-5.00002-8</w:t>
      </w:r>
    </w:p>
    <w:p>
      <w:pPr>
        <w:spacing w:before="20" w:after="60" w:line="240" w:lineRule="auto"/>
        <w:ind w:left="454" w:hanging="454"/>
        <w:jc w:val="both"/>
      </w:pPr>
      <w:r>
        <w:rPr>
          <w:b/>
          <w:sz w:val="22"/>
        </w:rPr>
        <w:t xml:space="preserve">14. </w:t>
      </w:r>
      <w:r>
        <w:rPr>
          <w:rFonts w:ascii="Times New Roman" w:hAnsi="Times New Roman"/>
          <w:sz w:val="22"/>
        </w:rPr>
        <w:t xml:space="preserve">Mayer, R. E. (2020). </w:t>
      </w:r>
      <w:r>
        <w:rPr>
          <w:rFonts w:ascii="Times New Roman" w:hAnsi="Times New Roman"/>
          <w:i/>
          <w:sz w:val="22"/>
        </w:rPr>
        <w:t>Multimedia learning</w:t>
      </w:r>
      <w:r>
        <w:rPr>
          <w:rFonts w:ascii="Times New Roman" w:hAnsi="Times New Roman"/>
          <w:sz w:val="22"/>
        </w:rPr>
        <w:t xml:space="preserve"> (3rd ed.). Cambridge University Press. https://doi.org/10.1017/9781316941355</w:t>
      </w:r>
    </w:p>
    <w:p>
      <w:pPr>
        <w:spacing w:before="20" w:after="60" w:line="240" w:lineRule="auto"/>
        <w:ind w:left="454" w:hanging="454"/>
        <w:jc w:val="both"/>
      </w:pPr>
      <w:r>
        <w:rPr>
          <w:b/>
          <w:sz w:val="22"/>
        </w:rPr>
        <w:t xml:space="preserve">15. </w:t>
      </w:r>
      <w:r>
        <w:rPr>
          <w:rFonts w:ascii="Times New Roman" w:hAnsi="Times New Roman"/>
          <w:sz w:val="22"/>
        </w:rPr>
        <w:t xml:space="preserve">Mayer, R. E., &amp; Anderson, R. B. (1992). The instructive animation: Helping students build connections between words and pictures in multimedia learning. </w:t>
      </w:r>
      <w:r>
        <w:rPr>
          <w:rFonts w:ascii="Times New Roman" w:hAnsi="Times New Roman"/>
          <w:i/>
          <w:sz w:val="22"/>
        </w:rPr>
        <w:t>Journal of Educational Psychology</w:t>
      </w:r>
      <w:r>
        <w:rPr>
          <w:rFonts w:ascii="Times New Roman" w:hAnsi="Times New Roman"/>
          <w:sz w:val="22"/>
        </w:rPr>
        <w:t>, 84(4), 444-452. https://doi.org/10.1037/0022-0663.84.4.444</w:t>
      </w:r>
    </w:p>
    <w:p>
      <w:pPr>
        <w:spacing w:before="20" w:after="60" w:line="240" w:lineRule="auto"/>
        <w:ind w:left="454" w:hanging="454"/>
        <w:jc w:val="both"/>
      </w:pPr>
      <w:r>
        <w:rPr>
          <w:b/>
          <w:sz w:val="22"/>
        </w:rPr>
        <w:t xml:space="preserve">16. </w:t>
      </w:r>
      <w:r>
        <w:rPr>
          <w:rFonts w:ascii="Times New Roman" w:hAnsi="Times New Roman"/>
          <w:sz w:val="22"/>
        </w:rPr>
        <w:t xml:space="preserve">Ayres, P., &amp; Sweller, J. (2014). The split-attention principle in multimedia learning. In </w:t>
      </w:r>
      <w:r>
        <w:rPr>
          <w:rFonts w:ascii="Times New Roman" w:hAnsi="Times New Roman"/>
          <w:i/>
          <w:sz w:val="22"/>
        </w:rPr>
        <w:t>The Cambridge Handbook of Multimedia Learning</w:t>
      </w:r>
      <w:r>
        <w:rPr>
          <w:rFonts w:ascii="Times New Roman" w:hAnsi="Times New Roman"/>
          <w:sz w:val="22"/>
        </w:rPr>
        <w:t xml:space="preserve"> (pp. 206-226). Cambridge University Press.</w:t>
      </w:r>
    </w:p>
    <w:p>
      <w:pPr>
        <w:spacing w:before="20" w:after="60" w:line="240" w:lineRule="auto"/>
        <w:ind w:left="454" w:hanging="454"/>
        <w:jc w:val="both"/>
      </w:pPr>
      <w:r>
        <w:rPr>
          <w:b/>
          <w:sz w:val="22"/>
        </w:rPr>
        <w:t xml:space="preserve">17. </w:t>
      </w:r>
      <w:r>
        <w:rPr>
          <w:rFonts w:ascii="Times New Roman" w:hAnsi="Times New Roman"/>
          <w:sz w:val="22"/>
        </w:rPr>
        <w:t xml:space="preserve">Bisson, M. J., Van Heuven, W. J., Conklin, K., &amp; Tunney, R. J. (2014). Processing of subtitles while watching films: An eye tracking study. </w:t>
      </w:r>
      <w:r>
        <w:rPr>
          <w:rFonts w:ascii="Times New Roman" w:hAnsi="Times New Roman"/>
          <w:i/>
          <w:sz w:val="22"/>
        </w:rPr>
        <w:t>Language Learning</w:t>
      </w:r>
      <w:r>
        <w:rPr>
          <w:rFonts w:ascii="Times New Roman" w:hAnsi="Times New Roman"/>
          <w:sz w:val="22"/>
        </w:rPr>
        <w:t>, 64(2), 221-243. https://doi.org/10.1111/lang.12044</w:t>
      </w:r>
    </w:p>
    <w:p>
      <w:pPr>
        <w:spacing w:before="20" w:after="60" w:line="240" w:lineRule="auto"/>
        <w:ind w:left="454" w:hanging="454"/>
        <w:jc w:val="both"/>
      </w:pPr>
      <w:r>
        <w:rPr>
          <w:b/>
          <w:sz w:val="22"/>
        </w:rPr>
        <w:t xml:space="preserve">18. </w:t>
      </w:r>
      <w:r>
        <w:rPr>
          <w:rFonts w:ascii="Times New Roman" w:hAnsi="Times New Roman"/>
          <w:sz w:val="22"/>
        </w:rPr>
        <w:t xml:space="preserve">Perego, E., Del Missier, F., Porta, M., &amp; Mosconi, M. (2010). The cognitive effectiveness of subtitle processing: An eye tracking study. </w:t>
      </w:r>
      <w:r>
        <w:rPr>
          <w:rFonts w:ascii="Times New Roman" w:hAnsi="Times New Roman"/>
          <w:i/>
          <w:sz w:val="22"/>
        </w:rPr>
        <w:t>Media Psychology</w:t>
      </w:r>
      <w:r>
        <w:rPr>
          <w:rFonts w:ascii="Times New Roman" w:hAnsi="Times New Roman"/>
          <w:sz w:val="22"/>
        </w:rPr>
        <w:t>, 13(3), 243-272. https://doi.org/10.1080/15213269.2010.502873</w:t>
      </w:r>
    </w:p>
    <w:p>
      <w:pPr>
        <w:spacing w:before="20" w:after="60" w:line="240" w:lineRule="auto"/>
        <w:ind w:left="454" w:hanging="454"/>
        <w:jc w:val="both"/>
      </w:pPr>
      <w:r>
        <w:rPr>
          <w:b/>
          <w:sz w:val="22"/>
        </w:rPr>
        <w:t xml:space="preserve">19. </w:t>
      </w:r>
      <w:r>
        <w:rPr>
          <w:rFonts w:ascii="Times New Roman" w:hAnsi="Times New Roman"/>
          <w:sz w:val="22"/>
        </w:rPr>
        <w:t xml:space="preserve">Povey, D., Ghoshal, A., Boulianne, G., Burget, L., Glembek, O., Goel, N., ... &amp; Vesely, K. (2011). The Kaldi speech recognition toolkit. In </w:t>
      </w:r>
      <w:r>
        <w:rPr>
          <w:rFonts w:ascii="Times New Roman" w:hAnsi="Times New Roman"/>
          <w:i/>
          <w:sz w:val="22"/>
        </w:rPr>
        <w:t>IEEE Workshop on Automatic Speech Recognition and Understanding</w:t>
      </w:r>
      <w:r>
        <w:rPr>
          <w:rFonts w:ascii="Times New Roman" w:hAnsi="Times New Roman"/>
          <w:sz w:val="22"/>
        </w:rPr>
        <w:t xml:space="preserve"> (No. EPFL-CONF-192584).</w:t>
      </w:r>
    </w:p>
    <w:p>
      <w:pPr>
        <w:spacing w:before="20" w:after="60" w:line="240" w:lineRule="auto"/>
        <w:ind w:left="454" w:hanging="454"/>
        <w:jc w:val="both"/>
      </w:pPr>
      <w:r>
        <w:rPr>
          <w:b/>
          <w:sz w:val="22"/>
        </w:rPr>
        <w:t xml:space="preserve">20. </w:t>
      </w:r>
      <w:r>
        <w:rPr>
          <w:rFonts w:ascii="Times New Roman" w:hAnsi="Times New Roman"/>
          <w:sz w:val="22"/>
        </w:rPr>
        <w:t xml:space="preserve">McAuliffe, M., Socolof, M., Mihuc, S., Wagner, M., &amp; Sonderegger, M. (2017). Montreal Forced Aligner: Trainable text-speech alignment using Kaldi. </w:t>
      </w:r>
      <w:r>
        <w:rPr>
          <w:rFonts w:ascii="Times New Roman" w:hAnsi="Times New Roman"/>
          <w:i/>
          <w:sz w:val="22"/>
        </w:rPr>
        <w:t>Interspeech 2017</w:t>
      </w:r>
      <w:r>
        <w:rPr>
          <w:rFonts w:ascii="Times New Roman" w:hAnsi="Times New Roman"/>
          <w:sz w:val="22"/>
        </w:rPr>
        <w:t>, 498-502. https://doi.org/10.21437/Interspeech.2017-1386</w:t>
      </w:r>
    </w:p>
    <w:p>
      <w:pPr>
        <w:spacing w:before="20" w:after="60" w:line="240" w:lineRule="auto"/>
        <w:ind w:left="454" w:hanging="454"/>
        <w:jc w:val="both"/>
      </w:pPr>
      <w:r>
        <w:rPr>
          <w:b/>
          <w:sz w:val="22"/>
        </w:rPr>
        <w:t xml:space="preserve">21. </w:t>
      </w:r>
      <w:r>
        <w:rPr>
          <w:rFonts w:ascii="Times New Roman" w:hAnsi="Times New Roman"/>
          <w:sz w:val="22"/>
        </w:rPr>
        <w:t xml:space="preserve">Kürzinger, L., Winkelbauer, D., Li, L., Watzel, C., &amp; Rigoll, G. (2020). CTC-segmentation of long audio recordings. In </w:t>
      </w:r>
      <w:r>
        <w:rPr>
          <w:rFonts w:ascii="Times New Roman" w:hAnsi="Times New Roman"/>
          <w:i/>
          <w:sz w:val="22"/>
        </w:rPr>
        <w:t>International Conference on Speech and Computer</w:t>
      </w:r>
      <w:r>
        <w:rPr>
          <w:rFonts w:ascii="Times New Roman" w:hAnsi="Times New Roman"/>
          <w:sz w:val="22"/>
        </w:rPr>
        <w:t xml:space="preserve"> (pp. 267-277). Springer, Cham. https://doi.org/10.1007/978-3-030-60276-5_27</w:t>
      </w:r>
    </w:p>
    <w:p>
      <w:pPr>
        <w:spacing w:before="20" w:after="60" w:line="240" w:lineRule="auto"/>
        <w:ind w:left="454" w:hanging="454"/>
        <w:jc w:val="both"/>
      </w:pPr>
      <w:r>
        <w:rPr>
          <w:b/>
          <w:sz w:val="22"/>
        </w:rPr>
        <w:t xml:space="preserve">22. </w:t>
      </w:r>
      <w:r>
        <w:rPr>
          <w:rFonts w:ascii="Times New Roman" w:hAnsi="Times New Roman"/>
          <w:sz w:val="22"/>
        </w:rPr>
        <w:t xml:space="preserve">Graves, A., Fernández, S., Gomez, F., &amp; Schmidhuber, J. (2006). Connectionist temporal classification: Labelling unsegmented sequence data with recurrent neural networks. In </w:t>
      </w:r>
      <w:r>
        <w:rPr>
          <w:rFonts w:ascii="Times New Roman" w:hAnsi="Times New Roman"/>
          <w:i/>
          <w:sz w:val="22"/>
        </w:rPr>
        <w:t>Proceedings of the 23rd International Conference on Machine Learning</w:t>
      </w:r>
      <w:r>
        <w:rPr>
          <w:rFonts w:ascii="Times New Roman" w:hAnsi="Times New Roman"/>
          <w:sz w:val="22"/>
        </w:rPr>
        <w:t xml:space="preserve"> (pp. 369-376). https://doi.org/10.1145/1143844.1143891</w:t>
      </w:r>
    </w:p>
    <w:p>
      <w:pPr>
        <w:spacing w:before="20" w:after="60" w:line="240" w:lineRule="auto"/>
        <w:ind w:left="454" w:hanging="454"/>
        <w:jc w:val="both"/>
      </w:pPr>
      <w:r>
        <w:rPr>
          <w:b/>
          <w:sz w:val="22"/>
        </w:rPr>
        <w:t xml:space="preserve">23. </w:t>
      </w:r>
      <w:r>
        <w:rPr>
          <w:rFonts w:ascii="Times New Roman" w:hAnsi="Times New Roman"/>
          <w:sz w:val="22"/>
        </w:rPr>
        <w:t xml:space="preserve">He, Y., Sainath, T. N., Prabhavalkar, R., McGraw, I., Alvarez, R., Zhao, D., ... &amp; Kannan, A. (2019). Streaming end-to-end speech recognition for mobile devices. In </w:t>
      </w:r>
      <w:r>
        <w:rPr>
          <w:rFonts w:ascii="Times New Roman" w:hAnsi="Times New Roman"/>
          <w:i/>
          <w:sz w:val="22"/>
        </w:rPr>
        <w:t>ICASSP 2019-2019 IEEE International Conference on Acoustics, Speech and Signal Processing (ICASSP)</w:t>
      </w:r>
      <w:r>
        <w:rPr>
          <w:rFonts w:ascii="Times New Roman" w:hAnsi="Times New Roman"/>
          <w:sz w:val="22"/>
        </w:rPr>
        <w:t xml:space="preserve"> (pp. 6381-6385). IEEE.</w:t>
      </w:r>
    </w:p>
    <w:p>
      <w:pPr>
        <w:spacing w:before="20" w:after="60" w:line="240" w:lineRule="auto"/>
        <w:ind w:left="454" w:hanging="454"/>
        <w:jc w:val="both"/>
      </w:pPr>
      <w:r>
        <w:rPr>
          <w:b/>
          <w:sz w:val="22"/>
        </w:rPr>
        <w:t xml:space="preserve">24. </w:t>
      </w:r>
      <w:r>
        <w:rPr>
          <w:rFonts w:ascii="Times New Roman" w:hAnsi="Times New Roman"/>
          <w:sz w:val="22"/>
        </w:rPr>
        <w:t xml:space="preserve">Malakul, S., &amp; Park, H. (2023). The effects of using an auto-subtitle system in educational videos to facilitate learning for secondary school students: Learning comprehension, cognitive load, and satisfaction. </w:t>
      </w:r>
      <w:r>
        <w:rPr>
          <w:rFonts w:ascii="Times New Roman" w:hAnsi="Times New Roman"/>
          <w:i/>
          <w:sz w:val="22"/>
        </w:rPr>
        <w:t>Education and Information Technologies</w:t>
      </w:r>
      <w:r>
        <w:rPr>
          <w:rFonts w:ascii="Times New Roman" w:hAnsi="Times New Roman"/>
          <w:sz w:val="22"/>
        </w:rPr>
        <w:t>, 28(8), 9835-9857. https://doi.org/10.1007/s10639-022-11537-8</w:t>
      </w:r>
    </w:p>
    <w:p>
      <w:pPr>
        <w:spacing w:before="20" w:after="60" w:line="240" w:lineRule="auto"/>
        <w:ind w:left="454" w:hanging="454"/>
        <w:jc w:val="both"/>
      </w:pPr>
      <w:r>
        <w:rPr>
          <w:b/>
          <w:sz w:val="22"/>
        </w:rPr>
        <w:t xml:space="preserve">25. </w:t>
      </w:r>
      <w:r>
        <w:rPr>
          <w:rFonts w:ascii="Times New Roman" w:hAnsi="Times New Roman"/>
          <w:sz w:val="22"/>
        </w:rPr>
        <w:t xml:space="preserve">Mirzaei, M. S., Meshgi, K., &amp; Kawahara, T. (2018). Exploiting automatic speech recognition errors to enhance partial and synchronized caption for facilitating second language listening. </w:t>
      </w:r>
      <w:r>
        <w:rPr>
          <w:rFonts w:ascii="Times New Roman" w:hAnsi="Times New Roman"/>
          <w:i/>
          <w:sz w:val="22"/>
        </w:rPr>
        <w:t>Computer Assisted Language Learning</w:t>
      </w:r>
      <w:r>
        <w:rPr>
          <w:rFonts w:ascii="Times New Roman" w:hAnsi="Times New Roman"/>
          <w:sz w:val="22"/>
        </w:rPr>
        <w:t>, 31(5-6), 465-492. https://doi.org/10.1080/09588221.2017.1408796</w:t>
      </w:r>
    </w:p>
    <w:p>
      <w:pPr>
        <w:spacing w:before="20" w:after="60" w:line="240" w:lineRule="auto"/>
        <w:ind w:left="454" w:hanging="454"/>
        <w:jc w:val="both"/>
      </w:pPr>
      <w:r>
        <w:rPr>
          <w:b/>
          <w:sz w:val="22"/>
        </w:rPr>
        <w:t xml:space="preserve">26. </w:t>
      </w:r>
      <w:r>
        <w:rPr>
          <w:rFonts w:ascii="Times New Roman" w:hAnsi="Times New Roman"/>
          <w:sz w:val="22"/>
        </w:rPr>
        <w:t xml:space="preserve">Zhu, J., Zhang, C., &amp; Jurgens, D. (2022). Charsiu: A lightweight toolkit for multilingual forced alignment. </w:t>
      </w:r>
      <w:r>
        <w:rPr>
          <w:rFonts w:ascii="Times New Roman" w:hAnsi="Times New Roman"/>
          <w:i/>
          <w:sz w:val="22"/>
        </w:rPr>
        <w:t>Interspeech 2022</w:t>
      </w:r>
      <w:r>
        <w:rPr>
          <w:rFonts w:ascii="Times New Roman" w:hAnsi="Times New Roman"/>
          <w:sz w:val="22"/>
        </w:rPr>
        <w:t>, 3674-3678. https://doi.org/10.21437/Interspeech.2022-10332</w:t>
      </w:r>
    </w:p>
    <w:p>
      <w:pPr>
        <w:spacing w:before="20" w:after="60" w:line="240" w:lineRule="auto"/>
        <w:ind w:left="454" w:hanging="454"/>
        <w:jc w:val="both"/>
      </w:pPr>
      <w:r>
        <w:rPr>
          <w:b/>
          <w:sz w:val="22"/>
        </w:rPr>
        <w:t xml:space="preserve">27. </w:t>
      </w:r>
      <w:r>
        <w:rPr>
          <w:rFonts w:ascii="Times New Roman" w:hAnsi="Times New Roman"/>
          <w:sz w:val="22"/>
        </w:rPr>
        <w:t xml:space="preserve">Pratap, V., Sriram, A., Tomar, P., &amp; Collobert, R. (2023). Scaling speech technology to 1,000+ languages. </w:t>
      </w:r>
      <w:r>
        <w:rPr>
          <w:rFonts w:ascii="Times New Roman" w:hAnsi="Times New Roman"/>
          <w:i/>
          <w:sz w:val="22"/>
        </w:rPr>
        <w:t>arXiv preprint arXiv:2305.13516</w:t>
      </w:r>
      <w:r>
        <w:rPr>
          <w:rFonts w:ascii="Times New Roman" w:hAnsi="Times New Roman"/>
          <w:sz w:val="22"/>
        </w:rPr>
        <w:t>.</w:t>
      </w:r>
    </w:p>
    <w:p>
      <w:pPr>
        <w:spacing w:before="20" w:after="60" w:line="240" w:lineRule="auto"/>
        <w:ind w:left="454" w:hanging="454"/>
        <w:jc w:val="both"/>
      </w:pPr>
      <w:r>
        <w:rPr>
          <w:b/>
          <w:sz w:val="22"/>
        </w:rPr>
        <w:t xml:space="preserve">28. </w:t>
      </w:r>
      <w:r>
        <w:rPr>
          <w:rFonts w:ascii="Times New Roman" w:hAnsi="Times New Roman"/>
          <w:sz w:val="22"/>
        </w:rPr>
        <w:t xml:space="preserve">Baevski, A., Zhou, Y., Mohamed, A., &amp; Auli, M. (2020). wav2vec 2.0: A framework for self-supervised learning of speech representations. </w:t>
      </w:r>
      <w:r>
        <w:rPr>
          <w:rFonts w:ascii="Times New Roman" w:hAnsi="Times New Roman"/>
          <w:i/>
          <w:sz w:val="22"/>
        </w:rPr>
        <w:t>Advances in Neural Information Processing Systems</w:t>
      </w:r>
      <w:r>
        <w:rPr>
          <w:rFonts w:ascii="Times New Roman" w:hAnsi="Times New Roman"/>
          <w:sz w:val="22"/>
        </w:rPr>
        <w:t>, 33, 12449-12460.</w:t>
      </w:r>
    </w:p>
    <w:p>
      <w:pPr>
        <w:spacing w:before="20" w:after="60" w:line="240" w:lineRule="auto"/>
        <w:ind w:left="454" w:hanging="454"/>
        <w:jc w:val="both"/>
      </w:pPr>
      <w:r>
        <w:rPr>
          <w:b/>
          <w:sz w:val="22"/>
        </w:rPr>
        <w:t xml:space="preserve">29. </w:t>
      </w:r>
      <w:r>
        <w:rPr>
          <w:rFonts w:ascii="Times New Roman" w:hAnsi="Times New Roman"/>
          <w:sz w:val="22"/>
        </w:rPr>
        <w:t xml:space="preserve">Raymond, W. D., Pitt, M., Johnson, K., Hume, E., Makashay, M., &amp; Dautricourt, R. (2002). An analysis of transcription and alignment errors in the Buckeye corpus. </w:t>
      </w:r>
      <w:r>
        <w:rPr>
          <w:rFonts w:ascii="Times New Roman" w:hAnsi="Times New Roman"/>
          <w:i/>
          <w:sz w:val="22"/>
        </w:rPr>
        <w:t>Speech Communication</w:t>
      </w:r>
      <w:r>
        <w:rPr>
          <w:rFonts w:ascii="Times New Roman" w:hAnsi="Times New Roman"/>
          <w:sz w:val="22"/>
        </w:rPr>
        <w:t>, 40(4), 589-607.</w:t>
      </w:r>
    </w:p>
    <w:p>
      <w:pPr>
        <w:spacing w:before="20" w:after="60" w:line="240" w:lineRule="auto"/>
        <w:ind w:left="454" w:hanging="454"/>
        <w:jc w:val="both"/>
      </w:pPr>
      <w:r>
        <w:rPr>
          <w:b/>
          <w:sz w:val="22"/>
        </w:rPr>
        <w:t xml:space="preserve">30. </w:t>
      </w:r>
      <w:r>
        <w:rPr>
          <w:rFonts w:ascii="Times New Roman" w:hAnsi="Times New Roman"/>
          <w:sz w:val="22"/>
        </w:rPr>
        <w:t xml:space="preserve">Wesenick, M. B., &amp; Kipp, A. (1996). Estimating the quality of phonetic transcriptions and segmentations of speech signals. In </w:t>
      </w:r>
      <w:r>
        <w:rPr>
          <w:rFonts w:ascii="Times New Roman" w:hAnsi="Times New Roman"/>
          <w:i/>
          <w:sz w:val="22"/>
        </w:rPr>
        <w:t>Fourth International Conference on Spoken Language Processing (ICSLP 1996)</w:t>
      </w:r>
      <w:r>
        <w:rPr>
          <w:rFonts w:ascii="Times New Roman" w:hAnsi="Times New Roman"/>
          <w:sz w:val="22"/>
        </w:rPr>
        <w:t xml:space="preserve"> (pp. 1129-1132).</w:t>
      </w:r>
    </w:p>
    <w:p>
      <w:pPr>
        <w:spacing w:before="20" w:after="60" w:line="240" w:lineRule="auto"/>
        <w:ind w:left="454" w:hanging="454"/>
        <w:jc w:val="both"/>
      </w:pPr>
      <w:r>
        <w:rPr>
          <w:b/>
          <w:sz w:val="22"/>
        </w:rPr>
        <w:t xml:space="preserve">31. </w:t>
      </w:r>
      <w:r>
        <w:rPr>
          <w:rFonts w:ascii="Times New Roman" w:hAnsi="Times New Roman"/>
          <w:sz w:val="22"/>
        </w:rPr>
        <w:t xml:space="preserve">International Telecommunication Union. (1998). </w:t>
      </w:r>
      <w:r>
        <w:rPr>
          <w:rFonts w:ascii="Times New Roman" w:hAnsi="Times New Roman"/>
          <w:i/>
          <w:sz w:val="22"/>
        </w:rPr>
        <w:t>Relative timing of sound and vision for broadcasting</w:t>
      </w:r>
      <w:r>
        <w:rPr>
          <w:rFonts w:ascii="Times New Roman" w:hAnsi="Times New Roman"/>
          <w:sz w:val="22"/>
        </w:rPr>
        <w:t xml:space="preserve"> (Recommendation ITU-R BT.1359-1). ITU Radiocommunication Sector.</w:t>
      </w:r>
    </w:p>
    <w:p>
      <w:pPr>
        <w:spacing w:before="20" w:after="60" w:line="240" w:lineRule="auto"/>
        <w:ind w:left="454" w:hanging="454"/>
        <w:jc w:val="both"/>
      </w:pPr>
      <w:r>
        <w:rPr>
          <w:b/>
          <w:sz w:val="22"/>
        </w:rPr>
        <w:t xml:space="preserve">32. </w:t>
      </w:r>
      <w:r>
        <w:rPr>
          <w:rFonts w:ascii="Times New Roman" w:hAnsi="Times New Roman"/>
          <w:sz w:val="22"/>
        </w:rPr>
        <w:t xml:space="preserve">European Broadcasting Union. (2007). </w:t>
      </w:r>
      <w:r>
        <w:rPr>
          <w:rFonts w:ascii="Times New Roman" w:hAnsi="Times New Roman"/>
          <w:i/>
          <w:sz w:val="22"/>
        </w:rPr>
        <w:t>The relative timing of the sound and vision components of a television signal</w:t>
      </w:r>
      <w:r>
        <w:rPr>
          <w:rFonts w:ascii="Times New Roman" w:hAnsi="Times New Roman"/>
          <w:sz w:val="22"/>
        </w:rPr>
        <w:t xml:space="preserve"> (EBU Recommendation R37). EBU Technical Committee.</w:t>
      </w:r>
    </w:p>
    <w:p>
      <w:pPr>
        <w:spacing w:before="20" w:after="60" w:line="240" w:lineRule="auto"/>
        <w:ind w:left="454" w:hanging="454"/>
        <w:jc w:val="both"/>
      </w:pPr>
      <w:r>
        <w:rPr>
          <w:b/>
          <w:sz w:val="22"/>
        </w:rPr>
        <w:t xml:space="preserve">33. </w:t>
      </w:r>
      <w:r>
        <w:rPr>
          <w:rFonts w:ascii="Times New Roman" w:hAnsi="Times New Roman"/>
          <w:sz w:val="22"/>
        </w:rPr>
        <w:t xml:space="preserve">Rayner, K. (1998). Eye movements in reading and information processing: 20 years of research. </w:t>
      </w:r>
      <w:r>
        <w:rPr>
          <w:rFonts w:ascii="Times New Roman" w:hAnsi="Times New Roman"/>
          <w:i/>
          <w:sz w:val="22"/>
        </w:rPr>
        <w:t>Psychological Bulletin</w:t>
      </w:r>
      <w:r>
        <w:rPr>
          <w:rFonts w:ascii="Times New Roman" w:hAnsi="Times New Roman"/>
          <w:sz w:val="22"/>
        </w:rPr>
        <w:t>, 124(3), 372-422. https://doi.org/10.1037/0033-2909.124.3.372</w:t>
      </w:r>
    </w:p>
    <w:p>
      <w:pPr>
        <w:spacing w:before="20" w:after="60" w:line="240" w:lineRule="auto"/>
        <w:ind w:left="454" w:hanging="454"/>
        <w:jc w:val="both"/>
      </w:pPr>
      <w:r>
        <w:rPr>
          <w:b/>
          <w:sz w:val="22"/>
        </w:rPr>
        <w:t xml:space="preserve">34. </w:t>
      </w:r>
      <w:r>
        <w:rPr>
          <w:rFonts w:ascii="Times New Roman" w:hAnsi="Times New Roman"/>
          <w:sz w:val="22"/>
        </w:rPr>
        <w:t xml:space="preserve">Dixon, N. F., &amp; Spitz, L. (1980). The detection of auditory visual desynchrony for speech and nonspeech stimuli. </w:t>
      </w:r>
      <w:r>
        <w:rPr>
          <w:rFonts w:ascii="Times New Roman" w:hAnsi="Times New Roman"/>
          <w:i/>
          <w:sz w:val="22"/>
        </w:rPr>
        <w:t>Perception &amp; Psychophysics</w:t>
      </w:r>
      <w:r>
        <w:rPr>
          <w:rFonts w:ascii="Times New Roman" w:hAnsi="Times New Roman"/>
          <w:sz w:val="22"/>
        </w:rPr>
        <w:t>, 28(3), 241-244. https://doi.org/10.3758/BF03204380</w:t>
      </w:r>
    </w:p>
    <w:p>
      <w:pPr>
        <w:spacing w:before="20" w:after="60" w:line="240" w:lineRule="auto"/>
        <w:ind w:left="454" w:hanging="454"/>
        <w:jc w:val="both"/>
      </w:pPr>
      <w:r>
        <w:rPr>
          <w:b/>
          <w:sz w:val="22"/>
        </w:rPr>
        <w:t xml:space="preserve">35. </w:t>
      </w:r>
      <w:r>
        <w:rPr>
          <w:rFonts w:ascii="Times New Roman" w:hAnsi="Times New Roman"/>
          <w:sz w:val="22"/>
        </w:rPr>
        <w:t xml:space="preserve">van Wassenhove, V., Grant, K. W., &amp; Poeppel, D. (2007). Temporal window of integration in auditory-visual speech perception. </w:t>
      </w:r>
      <w:r>
        <w:rPr>
          <w:rFonts w:ascii="Times New Roman" w:hAnsi="Times New Roman"/>
          <w:i/>
          <w:sz w:val="22"/>
        </w:rPr>
        <w:t>Neuropsychologia</w:t>
      </w:r>
      <w:r>
        <w:rPr>
          <w:rFonts w:ascii="Times New Roman" w:hAnsi="Times New Roman"/>
          <w:sz w:val="22"/>
        </w:rPr>
        <w:t>, 45(3), 598-607. https://doi.org/10.1016/j.neuropsychologia.2006.01.001</w:t>
      </w:r>
    </w:p>
    <w:p>
      <w:pPr>
        <w:spacing w:before="240" w:after="80"/>
      </w:pPr>
      <w:r>
        <w:rPr>
          <w:b/>
          <w:sz w:val="24"/>
        </w:rPr>
        <w:t>Information About Authors</w:t>
      </w:r>
    </w:p>
    <w:p>
      <w:pPr>
        <w:spacing w:before="80" w:after="20"/>
        <w:jc w:val="center"/>
      </w:pPr>
      <w:r>
        <w:rPr>
          <w:b/>
          <w:sz w:val="24"/>
        </w:rPr>
        <w:t>Askar Nurym</w:t>
      </w:r>
    </w:p>
    <w:p>
      <w:pPr>
        <w:spacing w:before="0" w:after="80"/>
        <w:jc w:val="center"/>
      </w:pPr>
      <w:r>
        <w:rPr>
          <w:i/>
          <w:sz w:val="21"/>
        </w:rPr>
        <w:t>Master's Student, Educational Program 7M06105 «Computer Science and Engineering», Astana IT University, Astana, Kazakhstan.</w:t>
      </w:r>
    </w:p>
    <w:p>
      <w:pPr>
        <w:spacing w:before="0" w:after="80" w:line="240" w:lineRule="auto"/>
        <w:jc w:val="both"/>
      </w:pPr>
      <w:r>
        <w:rPr>
          <w:rFonts w:ascii="Times New Roman" w:hAnsi="Times New Roman"/>
          <w:sz w:val="24"/>
        </w:rPr>
        <w:t>Research interests: Speech processing, forced alignment, multimodal machine learning, digital accessibility, educational technology.</w:t>
      </w:r>
    </w:p>
    <w:p>
      <w:pPr>
        <w:spacing w:before="0" w:after="80" w:line="240" w:lineRule="auto"/>
        <w:jc w:val="both"/>
      </w:pPr>
      <w:r>
        <w:rPr>
          <w:rFonts w:ascii="Times New Roman" w:hAnsi="Times New Roman"/>
          <w:sz w:val="24"/>
        </w:rPr>
        <w:t>Email: 251508@astanait.edu.kz | Phone: +7 (705) 123-4567 | ORCID: 0009-0004-7492-9382</w:t>
      </w:r>
    </w:p>
    <w:p>
      <w:pPr>
        <w:spacing w:before="80" w:after="20"/>
        <w:jc w:val="center"/>
      </w:pPr>
      <w:r>
        <w:rPr>
          <w:b/>
          <w:sz w:val="24"/>
        </w:rPr>
        <w:t>Tamara Zhukabayeva</w:t>
      </w:r>
    </w:p>
    <w:p>
      <w:pPr>
        <w:spacing w:before="0" w:after="80"/>
        <w:jc w:val="center"/>
      </w:pPr>
      <w:r>
        <w:rPr>
          <w:i/>
          <w:sz w:val="21"/>
        </w:rPr>
        <w:t>Doctor of Philosophy (PhD), Professor, School of Computer Science, Astana IT University, Astana, Kazakhstan.</w:t>
      </w:r>
    </w:p>
    <w:p>
      <w:pPr>
        <w:spacing w:before="0" w:after="80" w:line="240" w:lineRule="auto"/>
        <w:jc w:val="both"/>
      </w:pPr>
      <w:r>
        <w:rPr>
          <w:rFonts w:ascii="Times New Roman" w:hAnsi="Times New Roman"/>
          <w:sz w:val="24"/>
        </w:rPr>
        <w:t>Research interests: Artificial intelligence, machine learning, educational data mining, digital signal processing, adaptive e-learning systems.</w:t>
      </w:r>
    </w:p>
    <w:p>
      <w:pPr>
        <w:spacing w:before="0" w:after="80" w:line="240" w:lineRule="auto"/>
        <w:jc w:val="both"/>
      </w:pPr>
      <w:r>
        <w:rPr>
          <w:rFonts w:ascii="Times New Roman" w:hAnsi="Times New Roman"/>
          <w:sz w:val="24"/>
        </w:rPr>
        <w:t>Email: t.zhukabayeva@astanait.edu.kz | ORCID: 0000-0002-8611-3942</w:t>
      </w:r>
    </w:p>
    <w:sectPr w:rsidR="00FC693F" w:rsidRPr="0006063C" w:rsidSect="00034616">
      <w:pgSz w:w="11906" w:h="16838"/>
      <w:pgMar w:top="1134"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