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p>
      <w:r>
        <w:br w:type="page"/>
      </w:r>
    </w:p>
    <w:p>
      <w:pPr>
        <w:spacing w:after="120"/>
      </w:pPr>
      <w:r>
        <w:rPr>
          <w:b/>
          <w:sz w:val="28"/>
        </w:rPr>
        <w:t>Segment Update: S167</w:t>
      </w:r>
    </w:p>
    <w:p>
      <w:pPr>
        <w:spacing w:after="100"/>
      </w:pPr>
      <w:r>
        <w:rPr>
          <w:b/>
        </w:rPr>
        <w:t xml:space="preserve">Date: </w:t>
      </w:r>
      <w:r>
        <w:t>2026-08-27</w:t>
      </w:r>
    </w:p>
    <w:p>
      <w:pPr>
        <w:spacing w:after="100"/>
      </w:pPr>
      <w:r>
        <w:rPr>
          <w:b/>
        </w:rPr>
        <w:t>Status:</w:t>
      </w:r>
      <w:r>
        <w:t xml:space="preserve"> CORRECTION MERGED; VALIDATION FREEZE. PR #6 merged the approved correction at 3588b455 (tree b7014eb). Exact post-merge suites passed 143 relay and 24 packaging/process/product-truth tests. No hosted, deployment, or customer proof.</w:t>
      </w:r>
    </w:p>
    <w:p>
      <w:pPr>
        <w:spacing w:after="100"/>
      </w:pPr>
      <w:r>
        <w:t>Scope: Governed MCP relay v0 for one exact operator-attested, server-declared read-only/idempotent, auth-none upstream tool. MCP annotations are untrusted hints; no request field selects an endpoint or tool, and technical prevention of upstream side effects is not claimed.</w:t>
      </w:r>
    </w:p>
    <w:p>
      <w:pPr>
        <w:spacing w:after="100"/>
      </w:pPr>
      <w:r>
        <w:rPr>
          <w:b/>
        </w:rPr>
        <w:t>Outcomes:</w:t>
      </w:r>
      <w:r>
        <w:t xml:space="preserve"> The official MCP 2.1.1 client imports server/protocol identity, strict schemas, annotations, operator attestation, and the complete contract digest. Calls require an agent-bound revocation-aware principal, relay.call, and exact durable capability authority. All 448 OpenAPI operations are classified; the 369 accepted prototypes are explicit method/path pairs, so any new method or route defaults to stub.</w:t>
      </w:r>
    </w:p>
    <w:p>
      <w:pPr>
        <w:spacing w:after="100"/>
      </w:pPr>
      <w:r>
        <w:rPr>
          <w:b/>
        </w:rPr>
        <w:t>Dispatch and cost boundary:</w:t>
      </w:r>
      <w:r>
        <w:t xml:space="preserve"> Discovery is limited to 32 pages, 256 tools per page, 1,024 tools total, and one deadline; bad or repeated cursors fail closed. Immediately before tools/call, the service reacquires the authority fence and rechecks principal, capability, target, configuration, and policy. Nested SDK teardown groups preserve the original listing or admission error, preventing double finalization. Redirects and retries are disabled.</w:t>
      </w:r>
    </w:p>
    <w:p>
      <w:pPr>
        <w:spacing w:after="100"/>
      </w:pPr>
      <w:r>
        <w:t>Reliability and evidence: Relay-domain idempotency owns the call outside generic response-cache middleware and requires an explicit key. Reservation atomically snapshots the imported target. Crash recovery runs only after singleton ownership, signs pre-dispatch failure and post-dispatch indeterminate outcomes, and never replays ambiguous work. HTTP bodies and complete results are bounded to 65,536 bytes; identity encoding is forced and encoded responses are rejected before iteration. API receipt verification trusts only the configured signer; explicit-key verification remains offline.</w:t>
      </w:r>
    </w:p>
    <w:p>
      <w:pPr>
        <w:spacing w:after="100"/>
      </w:pPr>
      <w:r>
        <w:rPr>
          <w:b/>
        </w:rPr>
        <w:t>Verification:</w:t>
      </w:r>
      <w:r>
        <w:t xml:space="preserve"> Merged S167 passed 125 relay and 897 full-repository tests with one optional skip, exact-image proof, and same-reviewer approval. Corrected code head c158421d18ef5af87a3dc70524a5a00fcc1ec4d6, tree 392314058472ccbae8aa7be19d5d2c64db7aeca9, passed 143 relay and 917 full-repository tests with one skip, plus 24 packaging, containment, official-process, and product-truth tests, Ruff, Pyright, and compile. Real MCP 2.1.1 regressions prove stable repeated-cursor 502 and final-admission 403 outcomes with no dispatch or charge. Reviewer reproduced both and approved.</w:t>
      </w:r>
    </w:p>
    <w:p>
      <w:pPr>
        <w:spacing w:after="100"/>
      </w:pPr>
      <w:r>
        <w:t>Boundary: This is single-process SQLite local evidence for one operator-attested, server-declared read-only tool. Upstream behavior is not technically constrained. Upstream authentication, write tools, multiple targets, arbitrary routing, approvals, PostgreSQL/Redis, multi-worker or multi-replica safety, OpenTelemetry, hosted CI, public deployment, human login, customer onboarding, pilots, ROI, and customer outcomes are not claimed. Production and customer-pilot verdict remains NO-GO.</w:t>
      </w:r>
    </w:p>
    <w:p>
      <w:pPr>
        <w:spacing w:after="100"/>
      </w:pPr>
      <w:r>
        <w:rPr>
          <w:b/>
        </w:rPr>
        <w:t>Next dependency:</w:t>
      </w:r>
      <w:r>
        <w:t xml:space="preserve"> VALIDATION FREEZE. Do not start shared data, broader runtime, marketplace, deployment, or customer-product expansion. Reopen only for an identified design partner with a written workflow/threat boundary, real governed-call demand, an accountable pilot owner, and explicit owner authorization. Production still requires measured reliability, ROI, unit economics, and end-to-end safety proof.</w:t>
      </w:r>
    </w:p>
    <w:p>
      <w:pPr>
        <w:spacing w:after="100"/>
      </w:pPr>
      <w:r>
        <w:rPr>
          <w:b/>
        </w:rPr>
        <w:t xml:space="preserve">Evidence: </w:t>
      </w:r>
      <w:r>
        <w:t>docs/evidence/S167.md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