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CANDIDATE COMPLETE; exact-head independent review, hosted CI, and public deployment remain pending.</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roots now support tenant-scoped get, list, and idempotent revoke operations without exposing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exploit baseline reproduced 22 failures before correction. S165 authorization, persistence, and architecture suites passed (34); proportional security, packaging, and deployment suites passed (99); changed-file Ruff, Pyright, compile, format, and diff checks passed; full pytest passed 749 with one unchanged isolated official-MCP-SDK skip; wheel build and eight packaging/deployment-containment tests passed.</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