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t>Status: LOCAL COMPLETE; independent exact-commit review approved the corrected code candidate, and merge remains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t>Verification: The exact merged base reproduced two failures: a billing write returned 200 by default and a foreign owner read delegation status with 200. The corrected candidate passed 65 focused tests, 770 full-suite tests with one unchanged opt-in MCP SDK skip, 8 packaging/deployment-containment tests, Ruff, Pyright, compile, diff, two strict dependency audits, 11 Playwright flows, and exact-image readiness/simulation/webhook/default-disabled-financial probes. The same independent xhigh reviewer approved corrected head 99bd540b8e62caf2aa6540304c22514170001e52 with zero HIGH and zero MEDIUM findings.</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p>
      <w:r>
        <w:br w:type="page"/>
      </w:r>
    </w:p>
    <w:p>
      <w:pPr>
        <w:spacing w:after="120"/>
      </w:pPr>
      <w:r>
        <w:rPr>
          <w:b/>
          <w:sz w:val="28"/>
        </w:rPr>
        <w:t>Segment Update: S167</w:t>
      </w:r>
    </w:p>
    <w:p>
      <w:pPr>
        <w:spacing w:after="100"/>
      </w:pPr>
      <w:r>
        <w:rPr>
          <w:b/>
        </w:rPr>
        <w:t xml:space="preserve">Date: </w:t>
      </w:r>
      <w:r>
        <w:t>2026-08-27</w:t>
      </w:r>
    </w:p>
    <w:p>
      <w:pPr>
        <w:spacing w:after="100"/>
      </w:pPr>
      <w:r>
        <w:t>Status: LOCAL COMPLETE; final exact code head approved with zero HIGH/MEDIUM findings. PR merge and post-merge verification occur after this document freeze; hosted deployment and customer proof remain unverified.</w:t>
      </w:r>
    </w:p>
    <w:p>
      <w:pPr>
        <w:spacing w:after="100"/>
      </w:pPr>
      <w:r>
        <w:t>Scope: Governed MCP relay v0 for one exact operator-attested, server-declared read-only/idempotent, auth-none upstream tool. MCP annotations are untrusted hints; no request field selects an endpoint or tool, and technical prevention of upstream side effects is not claimed.</w:t>
      </w:r>
    </w:p>
    <w:p>
      <w:pPr>
        <w:spacing w:after="100"/>
      </w:pPr>
      <w:r>
        <w:t>Outcomes: The production runtime uses the official MCP 2.1.1 client. Import persists server/protocol identity, strict schemas, annotations, operator attestation, and the full tool-contract digest. Calls require an agent-bound revocation-aware principal, relay.call, and literal exact durable capability audience, resource, subject, and tool scope; wildcard-only scope is denied. OpenAPI records the real public/protected authentication boundary.</w:t>
      </w:r>
    </w:p>
    <w:p>
      <w:pPr>
        <w:spacing w:after="100"/>
      </w:pPr>
      <w:r>
        <w:t>Dispatch and cost boundary: Principal, capability, configuration generation, final target, policy, and admin-controlled finite budget are checked under one local authority fence immediately before network admission. The immutable final target snapshot is persisted with network_started_at. Fresh server identity, protocol, and schema are compared before tools/call; redirects and retries are disabled.</w:t>
      </w:r>
    </w:p>
    <w:p>
      <w:pPr>
        <w:spacing w:after="100"/>
      </w:pPr>
      <w:r>
        <w:t>Reliability and evidence: Relay-domain idempotency owns the call outside generic response-cache middleware and requires an explicit key. Reservation atomically snapshots the imported target. Crash recovery runs only after singleton ownership, signs pre-dispatch failure and post-dispatch indeterminate outcomes, and never replays ambiguous work. HTTP bodies and complete results are bounded to 65,536 bytes; identity encoding is forced and encoded responses are rejected before iteration. API receipt verification trusts only the configured signer; explicit-key verification remains offline.</w:t>
      </w:r>
    </w:p>
    <w:p>
      <w:pPr>
        <w:spacing w:after="100"/>
      </w:pPr>
      <w:r>
        <w:t>Verification: Four official-process tests passed. Relay: 125 passed. Proportional: 174 passed, 1 skipped. Full repository: 897 passed, 1 unchanged optional external-interpreter lane skipped. Thirty-four Python files passed Ruff format/check, Pyright, and compile; 8 packaging/deployment tests, both strict dependency audits, and 2 Playwright desktop/mobile tests passed. Final head 42cf66f8bd9a4cb882335ed24a0293d6a3d9500f, tree 488995b1972eb9539e563e4bb99321d9d028fa41, produced exact image sha256:91acc73bf2c7e43cefee7c6b98f403e7968df85672da30a8e673b94d87bb0a20 and wheel SHA-256 4e4098848e3920d8ca96098e07d80bb90a3d7c4d37a402a6542534bc4641cedb. The same xhigh reviewer approved with zero HIGH and zero MEDIUM findings.</w:t>
      </w:r>
    </w:p>
    <w:p>
      <w:pPr>
        <w:spacing w:after="100"/>
      </w:pPr>
      <w:r>
        <w:t>Boundary: This is single-process SQLite local evidence for one operator-attested, server-declared read-only tool. Upstream behavior is not technically constrained. Upstream authentication, write tools, multiple targets, arbitrary routing, approvals, PostgreSQL/Redis, multi-worker or multi-replica safety, OpenTelemetry, hosted CI, public deployment, human login, customer onboarding, pilots, ROI, and customer outcomes are not claimed. Production and customer-pilot verdict remains NO-GO.</w:t>
      </w:r>
    </w:p>
    <w:p>
      <w:pPr>
        <w:spacing w:after="100"/>
      </w:pPr>
      <w:r>
        <w:rPr>
          <w:b/>
        </w:rPr>
        <w:t xml:space="preserve">Next dependency: </w:t>
      </w:r>
      <w:r>
        <w:t>Validation freeze. Do not start PostgreSQL/Alembic/outbox, Redis, broader runtime, marketplace expansion, or public deployment until independent design-partner demand, reliability, ROI, and unit-economic gates justify reopening AgentHub.</w:t>
      </w:r>
    </w:p>
    <w:p>
      <w:pPr>
        <w:spacing w:after="100"/>
      </w:pPr>
      <w:r>
        <w:rPr>
          <w:b/>
        </w:rPr>
        <w:t xml:space="preserve">Evidence: </w:t>
      </w:r>
      <w:r>
        <w:t>docs/evidence/S167.md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