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after="240" w:lineRule="auto"/>
        <w:rPr/>
      </w:pPr>
      <w:bookmarkStart w:colFirst="0" w:colLast="0" w:name="_rc3bbjx3hevp" w:id="0"/>
      <w:bookmarkEnd w:id="0"/>
      <w:r w:rsidDel="00000000" w:rsidR="00000000" w:rsidRPr="00000000">
        <w:rPr>
          <w:rtl w:val="0"/>
        </w:rPr>
        <w:t xml:space="preserve">Technical Stack Choice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: Selected for its high performance and native support for asynchronous programming and OpenAPI generation.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Pydantic</w:t>
      </w:r>
      <w:r w:rsidDel="00000000" w:rsidR="00000000" w:rsidRPr="00000000">
        <w:rPr>
          <w:rtl w:val="0"/>
        </w:rPr>
        <w:t xml:space="preserve">: Used to enforce strict data types, ensuring that the API rejects invalid data (e.g., negative quantities or missing names).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: Employed to ensure environmental parity between development and production.</w:t>
      </w:r>
    </w:p>
    <w:p w:rsidR="00000000" w:rsidDel="00000000" w:rsidP="00000000" w:rsidRDefault="00000000" w:rsidRPr="00000000" w14:paraId="00000006">
      <w:pPr>
        <w:pStyle w:val="Heading2"/>
        <w:spacing w:after="240" w:lineRule="auto"/>
        <w:rPr/>
      </w:pPr>
      <w:bookmarkStart w:colFirst="0" w:colLast="0" w:name="_pdkp1v8k4zs3" w:id="1"/>
      <w:bookmarkEnd w:id="1"/>
      <w:r w:rsidDel="00000000" w:rsidR="00000000" w:rsidRPr="00000000">
        <w:rPr>
          <w:rtl w:val="0"/>
        </w:rPr>
        <w:t xml:space="preserve">Business Logic Implementation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The core calculation logic is isolated in </w:t>
      </w:r>
      <w:r w:rsidDel="00000000" w:rsidR="00000000" w:rsidRPr="00000000">
        <w:rPr>
          <w:color w:val="188038"/>
          <w:rtl w:val="0"/>
        </w:rPr>
        <w:t xml:space="preserve">app/services.py</w:t>
      </w:r>
      <w:r w:rsidDel="00000000" w:rsidR="00000000" w:rsidRPr="00000000">
        <w:rPr>
          <w:rtl w:val="0"/>
        </w:rPr>
        <w:t xml:space="preserve"> to ensure maintainability. The formula </w:t>
      </w:r>
      <w:r w:rsidDel="00000000" w:rsidR="00000000" w:rsidRPr="00000000">
        <w:rPr>
          <w:color w:val="188038"/>
          <w:rtl w:val="0"/>
        </w:rPr>
        <w:t xml:space="preserve">unit_cost * (1 + margin_pct) * qty</w:t>
      </w:r>
      <w:r w:rsidDel="00000000" w:rsidR="00000000" w:rsidRPr="00000000">
        <w:rPr>
          <w:rtl w:val="0"/>
        </w:rPr>
        <w:t xml:space="preserve"> is applied to each line item, with the final grand total rounded to two decimal places for financial accuracy.</w:t>
      </w:r>
    </w:p>
    <w:p w:rsidR="00000000" w:rsidDel="00000000" w:rsidP="00000000" w:rsidRDefault="00000000" w:rsidRPr="00000000" w14:paraId="00000008">
      <w:pPr>
        <w:pStyle w:val="Heading2"/>
        <w:spacing w:after="240" w:lineRule="auto"/>
        <w:rPr/>
      </w:pPr>
      <w:bookmarkStart w:colFirst="0" w:colLast="0" w:name="_4gvwci8l3qky" w:id="2"/>
      <w:bookmarkEnd w:id="2"/>
      <w:r w:rsidDel="00000000" w:rsidR="00000000" w:rsidRPr="00000000">
        <w:rPr>
          <w:rtl w:val="0"/>
        </w:rPr>
        <w:t xml:space="preserve">AI Integration Strategy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  <w:t xml:space="preserve">To meet the requirement for offline/local testing, the service includes a </w:t>
      </w:r>
      <w:r w:rsidDel="00000000" w:rsidR="00000000" w:rsidRPr="00000000">
        <w:rPr>
          <w:b w:val="1"/>
          <w:bCs w:val="1"/>
          <w:rtl w:val="0"/>
        </w:rPr>
        <w:t xml:space="preserve">Mock LLM Switch</w:t>
      </w:r>
      <w:r w:rsidDel="00000000" w:rsidR="00000000" w:rsidRPr="00000000">
        <w:rPr>
          <w:rtl w:val="0"/>
        </w:rPr>
        <w:t xml:space="preserve">. By default, it uses a high-quality local template for bilingual emails, but it is fully prepared to connect to the OpenAI API simply by providing a key in the </w:t>
      </w:r>
      <w:r w:rsidDel="00000000" w:rsidR="00000000" w:rsidRPr="00000000">
        <w:rPr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0A">
      <w:pPr>
        <w:pStyle w:val="Heading2"/>
        <w:spacing w:after="240" w:lineRule="auto"/>
        <w:rPr/>
      </w:pPr>
      <w:bookmarkStart w:colFirst="0" w:colLast="0" w:name="_54mjp6vpghyd" w:id="3"/>
      <w:bookmarkEnd w:id="3"/>
      <w:r w:rsidDel="00000000" w:rsidR="00000000" w:rsidRPr="00000000">
        <w:rPr>
          <w:rtl w:val="0"/>
        </w:rPr>
        <w:t xml:space="preserve">Testing and Validation</w:t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color w:val="188038"/>
          <w:rtl w:val="0"/>
        </w:rPr>
        <w:t xml:space="preserve">pytest</w:t>
      </w:r>
      <w:r w:rsidDel="00000000" w:rsidR="00000000" w:rsidRPr="00000000">
        <w:rPr>
          <w:rtl w:val="0"/>
        </w:rPr>
        <w:t xml:space="preserve">, we have verified that the service correctly calculates a $20\%$ margin on a $100$ unit cost for $120$ items, resulting in a total of $14,400$.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pStyle w:val="Title"/>
      <w:jc w:val="center"/>
      <w:rPr/>
    </w:pPr>
    <w:bookmarkStart w:colFirst="0" w:colLast="0" w:name="_qhrd6y4lszwu" w:id="4"/>
    <w:bookmarkEnd w:id="4"/>
    <w:r w:rsidDel="00000000" w:rsidR="00000000" w:rsidRPr="00000000">
      <w:rPr>
        <w:rtl w:val="0"/>
      </w:rPr>
      <w:t xml:space="preserve">Quotation Microservice Documentation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pStyle w:val="Title"/>
      <w:jc w:val="center"/>
      <w:rPr/>
    </w:pPr>
    <w:bookmarkStart w:colFirst="0" w:colLast="0" w:name="_2v9w37aggy2d" w:id="5"/>
    <w:bookmarkEnd w:id="5"/>
    <w:r w:rsidDel="00000000" w:rsidR="00000000" w:rsidRPr="00000000">
      <w:rPr>
        <w:rtl w:val="0"/>
      </w:rPr>
      <w:t xml:space="preserve">Quotation Microservice Documentation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