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68"/>
        </w:rPr>
        <w:t>VANGUARD X</w:t>
      </w:r>
    </w:p>
    <w:p>
      <w:pPr>
        <w:jc w:val="center"/>
      </w:pPr>
      <w:r>
        <w:rPr>
          <w:b/>
          <w:sz w:val="48"/>
        </w:rPr>
        <w:t>Software &amp; System Architecture Specification</w:t>
      </w:r>
    </w:p>
    <w:p>
      <w:pPr>
        <w:jc w:val="center"/>
      </w:pPr>
      <w:r>
        <w:t>Version 0.8 - Operational Golay Timing and X6-60 Integration Baseline</w:t>
      </w:r>
    </w:p>
    <w:p>
      <w:r>
        <w:br/>
      </w:r>
    </w:p>
    <w:tbl>
      <w:tblPr>
        <w:tblStyle w:val="TableGrid"/>
        <w:tblW w:type="auto" w:w="0"/>
        <w:jc w:val="center"/>
        <w:tblLook w:firstColumn="1" w:firstRow="1" w:lastColumn="0" w:lastRow="0" w:noHBand="0" w:noVBand="1" w:val="04A0"/>
      </w:tblPr>
      <w:tblGrid>
        <w:gridCol w:w="5040"/>
        <w:gridCol w:w="5040"/>
      </w:tblGrid>
      <w:tr>
        <w:trPr>
          <w:tblHeader/>
          <w:cantSplit/>
        </w:trPr>
        <w:tc>
          <w:tcPr>
            <w:tcW w:type="dxa" w:w="5040"/>
            <w:vAlign w:val="center"/>
            <w:tcMar>
              <w:top w:w="80" w:type="dxa"/>
              <w:start w:w="100" w:type="dxa"/>
              <w:bottom w:w="80" w:type="dxa"/>
              <w:end w:w="100" w:type="dxa"/>
            </w:tcMar>
          </w:tcPr>
          <w:p>
            <w:pPr>
              <w:spacing w:before="0" w:after="0"/>
            </w:pPr>
            <w:r>
              <w:rPr>
                <w:b/>
                <w:sz w:val="17"/>
              </w:rPr>
              <w:t>Document No.</w:t>
            </w:r>
          </w:p>
        </w:tc>
        <w:tc>
          <w:tcPr>
            <w:tcW w:type="dxa" w:w="5040"/>
            <w:vAlign w:val="center"/>
            <w:tcMar>
              <w:top w:w="80" w:type="dxa"/>
              <w:start w:w="100" w:type="dxa"/>
              <w:bottom w:w="80" w:type="dxa"/>
              <w:end w:w="100" w:type="dxa"/>
            </w:tcMar>
          </w:tcPr>
          <w:p>
            <w:pPr>
              <w:spacing w:before="0" w:after="0"/>
            </w:pPr>
            <w:r>
              <w:rPr>
                <w:b/>
                <w:sz w:val="17"/>
              </w:rPr>
              <w:t>VX-SSA-001</w:t>
            </w:r>
          </w:p>
        </w:tc>
      </w:tr>
      <w:tr>
        <w:trPr>
          <w:cantSplit/>
        </w:trPr>
        <w:tc>
          <w:tcPr>
            <w:tcW w:type="dxa" w:w="5040"/>
            <w:vAlign w:val="center"/>
            <w:tcMar>
              <w:top w:w="80" w:type="dxa"/>
              <w:start w:w="100" w:type="dxa"/>
              <w:bottom w:w="80" w:type="dxa"/>
              <w:end w:w="100" w:type="dxa"/>
            </w:tcMar>
          </w:tcPr>
          <w:p>
            <w:pPr>
              <w:spacing w:before="0" w:after="0"/>
            </w:pPr>
            <w:r>
              <w:rPr>
                <w:b/>
                <w:sz w:val="17"/>
              </w:rPr>
              <w:t>Version</w:t>
            </w:r>
          </w:p>
        </w:tc>
        <w:tc>
          <w:tcPr>
            <w:tcW w:type="dxa" w:w="5040"/>
            <w:vAlign w:val="center"/>
            <w:tcMar>
              <w:top w:w="80" w:type="dxa"/>
              <w:start w:w="100" w:type="dxa"/>
              <w:bottom w:w="80" w:type="dxa"/>
              <w:end w:w="100" w:type="dxa"/>
            </w:tcMar>
          </w:tcPr>
          <w:p>
            <w:r>
              <w:t>0.8</w:t>
            </w:r>
          </w:p>
        </w:tc>
      </w:tr>
      <w:tr>
        <w:trPr>
          <w:cantSplit/>
        </w:trPr>
        <w:tc>
          <w:tcPr>
            <w:tcW w:type="dxa" w:w="5040"/>
            <w:vAlign w:val="center"/>
            <w:tcMar>
              <w:top w:w="80" w:type="dxa"/>
              <w:start w:w="100" w:type="dxa"/>
              <w:bottom w:w="80" w:type="dxa"/>
              <w:end w:w="100" w:type="dxa"/>
            </w:tcMar>
          </w:tcPr>
          <w:p>
            <w:pPr>
              <w:spacing w:before="0" w:after="0"/>
            </w:pPr>
            <w:r>
              <w:rPr>
                <w:b/>
                <w:sz w:val="17"/>
              </w:rPr>
              <w:t>Status</w:t>
            </w:r>
          </w:p>
        </w:tc>
        <w:tc>
          <w:tcPr>
            <w:tcW w:type="dxa" w:w="5040"/>
            <w:vAlign w:val="center"/>
            <w:tcMar>
              <w:top w:w="80" w:type="dxa"/>
              <w:start w:w="100" w:type="dxa"/>
              <w:bottom w:w="80" w:type="dxa"/>
              <w:end w:w="100" w:type="dxa"/>
            </w:tcMar>
          </w:tcPr>
          <w:p>
            <w:pPr>
              <w:spacing w:before="0" w:after="0"/>
            </w:pPr>
            <w:r>
              <w:rPr>
                <w:sz w:val="17"/>
              </w:rPr>
              <w:t>Engineering Draft</w:t>
            </w:r>
          </w:p>
        </w:tc>
      </w:tr>
      <w:tr>
        <w:trPr>
          <w:cantSplit/>
        </w:trPr>
        <w:tc>
          <w:tcPr>
            <w:tcW w:type="dxa" w:w="5040"/>
            <w:vAlign w:val="center"/>
            <w:tcMar>
              <w:top w:w="80" w:type="dxa"/>
              <w:start w:w="100" w:type="dxa"/>
              <w:bottom w:w="80" w:type="dxa"/>
              <w:end w:w="100" w:type="dxa"/>
            </w:tcMar>
          </w:tcPr>
          <w:p>
            <w:pPr>
              <w:spacing w:before="0" w:after="0"/>
            </w:pPr>
            <w:r>
              <w:rPr>
                <w:b/>
                <w:sz w:val="17"/>
              </w:rPr>
              <w:t>Date</w:t>
            </w:r>
          </w:p>
        </w:tc>
        <w:tc>
          <w:tcPr>
            <w:tcW w:type="dxa" w:w="5040"/>
            <w:vAlign w:val="center"/>
            <w:tcMar>
              <w:top w:w="80" w:type="dxa"/>
              <w:start w:w="100" w:type="dxa"/>
              <w:bottom w:w="80" w:type="dxa"/>
              <w:end w:w="100" w:type="dxa"/>
            </w:tcMar>
          </w:tcPr>
          <w:p>
            <w:r>
              <w:t>22 July 2026</w:t>
            </w:r>
          </w:p>
        </w:tc>
      </w:tr>
      <w:tr>
        <w:trPr>
          <w:cantSplit/>
        </w:trPr>
        <w:tc>
          <w:tcPr>
            <w:tcW w:type="dxa" w:w="5040"/>
            <w:vAlign w:val="center"/>
            <w:tcMar>
              <w:top w:w="80" w:type="dxa"/>
              <w:start w:w="100" w:type="dxa"/>
              <w:bottom w:w="80" w:type="dxa"/>
              <w:end w:w="100" w:type="dxa"/>
            </w:tcMar>
          </w:tcPr>
          <w:p>
            <w:pPr>
              <w:spacing w:before="0" w:after="0"/>
            </w:pPr>
            <w:r>
              <w:rPr>
                <w:b/>
                <w:sz w:val="17"/>
              </w:rPr>
              <w:t>Project</w:t>
            </w:r>
          </w:p>
        </w:tc>
        <w:tc>
          <w:tcPr>
            <w:tcW w:type="dxa" w:w="5040"/>
            <w:vAlign w:val="center"/>
            <w:tcMar>
              <w:top w:w="80" w:type="dxa"/>
              <w:start w:w="100" w:type="dxa"/>
              <w:bottom w:w="80" w:type="dxa"/>
              <w:end w:w="100" w:type="dxa"/>
            </w:tcMar>
          </w:tcPr>
          <w:p>
            <w:pPr>
              <w:spacing w:before="0" w:after="0"/>
            </w:pPr>
            <w:r>
              <w:rPr>
                <w:sz w:val="17"/>
              </w:rPr>
              <w:t>Vanguard X X-band Radar Prototype</w:t>
            </w:r>
          </w:p>
        </w:tc>
      </w:tr>
      <w:tr>
        <w:trPr>
          <w:cantSplit/>
        </w:trPr>
        <w:tc>
          <w:tcPr>
            <w:tcW w:type="dxa" w:w="5040"/>
            <w:vAlign w:val="center"/>
            <w:tcMar>
              <w:top w:w="80" w:type="dxa"/>
              <w:start w:w="100" w:type="dxa"/>
              <w:bottom w:w="80" w:type="dxa"/>
              <w:end w:w="100" w:type="dxa"/>
            </w:tcMar>
          </w:tcPr>
          <w:p>
            <w:pPr>
              <w:spacing w:before="0" w:after="0"/>
            </w:pPr>
            <w:r>
              <w:rPr>
                <w:b/>
                <w:sz w:val="17"/>
              </w:rPr>
              <w:t>Document owner</w:t>
            </w:r>
          </w:p>
        </w:tc>
        <w:tc>
          <w:tcPr>
            <w:tcW w:type="dxa" w:w="5040"/>
            <w:vAlign w:val="center"/>
            <w:tcMar>
              <w:top w:w="80" w:type="dxa"/>
              <w:start w:w="100" w:type="dxa"/>
              <w:bottom w:w="80" w:type="dxa"/>
              <w:end w:w="100" w:type="dxa"/>
            </w:tcMar>
          </w:tcPr>
          <w:p>
            <w:pPr>
              <w:spacing w:before="0" w:after="0"/>
            </w:pPr>
            <w:r>
              <w:rPr>
                <w:sz w:val="17"/>
              </w:rPr>
              <w:t>ASR Defence / Len Sciacca</w:t>
            </w:r>
          </w:p>
        </w:tc>
      </w:tr>
      <w:tr>
        <w:trPr>
          <w:cantSplit/>
        </w:trPr>
        <w:tc>
          <w:tcPr>
            <w:tcW w:type="dxa" w:w="5040"/>
            <w:vAlign w:val="center"/>
            <w:tcMar>
              <w:top w:w="80" w:type="dxa"/>
              <w:start w:w="100" w:type="dxa"/>
              <w:bottom w:w="80" w:type="dxa"/>
              <w:end w:w="100" w:type="dxa"/>
            </w:tcMar>
          </w:tcPr>
          <w:p>
            <w:pPr>
              <w:spacing w:before="0" w:after="0"/>
            </w:pPr>
            <w:r>
              <w:rPr>
                <w:b/>
                <w:sz w:val="17"/>
              </w:rPr>
              <w:t>Baseline</w:t>
            </w:r>
          </w:p>
        </w:tc>
        <w:tc>
          <w:tcPr>
            <w:tcW w:type="dxa" w:w="5040"/>
            <w:vAlign w:val="center"/>
            <w:tcMar>
              <w:top w:w="80" w:type="dxa"/>
              <w:start w:w="100" w:type="dxa"/>
              <w:bottom w:w="80" w:type="dxa"/>
              <w:end w:w="100" w:type="dxa"/>
            </w:tcMar>
          </w:tcPr>
          <w:p>
            <w:r>
              <w:t>Operational Golay64_20MHz A/B timing at 40 MS/s and 4 kHz/64 physical pulses (16 ms CPI), guarded B200mini timed TX/RX and ATR profiles, and operational X6-60 SocketCAN pointing with absolute encoder feedback, North=0 degrees, clockwise-positive azimuth, 20 deg/s scan rate and current-position startup; no-profile startup remains receive-only and the TRM/PA remain disconnected.</w:t>
            </w:r>
          </w:p>
        </w:tc>
      </w:tr>
      <w:tr>
        <w:trPr>
          <w:cantSplit/>
        </w:trPr>
        <w:tc>
          <w:tcPr>
            <w:tcW w:type="dxa" w:w="5040"/>
            <w:vAlign w:val="center"/>
            <w:tcMar>
              <w:top w:w="80" w:type="dxa"/>
              <w:start w:w="100" w:type="dxa"/>
              <w:bottom w:w="80" w:type="dxa"/>
              <w:end w:w="100" w:type="dxa"/>
            </w:tcMar>
          </w:tcPr>
          <w:p>
            <w:pPr>
              <w:spacing w:before="0" w:after="0"/>
            </w:pPr>
            <w:r>
              <w:rPr>
                <w:b/>
                <w:sz w:val="17"/>
              </w:rPr>
              <w:t>Repository</w:t>
            </w:r>
          </w:p>
        </w:tc>
        <w:tc>
          <w:tcPr>
            <w:tcW w:type="dxa" w:w="5040"/>
            <w:vAlign w:val="center"/>
            <w:tcMar>
              <w:top w:w="80" w:type="dxa"/>
              <w:start w:w="100" w:type="dxa"/>
              <w:bottom w:w="80" w:type="dxa"/>
              <w:end w:w="100" w:type="dxa"/>
            </w:tcMar>
          </w:tcPr>
          <w:p>
            <w:pPr>
              <w:spacing w:before="0" w:after="0"/>
            </w:pPr>
            <w:r>
              <w:rPr>
                <w:sz w:val="17"/>
              </w:rPr>
              <w:t>~/Projects/Software/docs/architecture</w:t>
            </w:r>
          </w:p>
        </w:tc>
      </w:tr>
    </w:tbl>
    <w:p>
      <w:r>
        <w:br/>
      </w:r>
    </w:p>
    <w:p>
      <w:pPr>
        <w:jc w:val="center"/>
      </w:pPr>
      <w:r>
        <w:rPr>
          <w:i/>
        </w:rPr>
        <w:t>Authoritative design reference for Vanguard X mission-computer, pointing, scheduling, SDR execution, signal-processing, tracking and hardware-control development.</w:t>
      </w:r>
    </w:p>
    <w:p>
      <w:r>
        <w:br w:type="page"/>
      </w:r>
    </w:p>
    <w:p>
      <w:pPr>
        <w:pStyle w:val="Heading1"/>
      </w:pPr>
      <w:r>
        <w:t>Document Control</w:t>
      </w:r>
    </w:p>
    <w:tbl>
      <w:tblPr>
        <w:tblStyle w:val="TableGrid"/>
        <w:tblW w:type="auto" w:w="0"/>
        <w:jc w:val="center"/>
        <w:tblLook w:firstColumn="1" w:firstRow="1" w:lastColumn="0" w:lastRow="0" w:noHBand="0" w:noVBand="1" w:val="04A0"/>
      </w:tblPr>
      <w:tblGrid>
        <w:gridCol w:w="2520"/>
        <w:gridCol w:w="2520"/>
        <w:gridCol w:w="2520"/>
        <w:gridCol w:w="2520"/>
      </w:tblGrid>
      <w:tr>
        <w:trPr>
          <w:tblHeader/>
          <w:cantSplit/>
        </w:trPr>
        <w:tc>
          <w:tcPr>
            <w:tcW w:type="dxa" w:w="2520"/>
            <w:shd w:fill="1F4E79"/>
            <w:vAlign w:val="center"/>
            <w:tcMar>
              <w:top w:w="80" w:type="dxa"/>
              <w:start w:w="100" w:type="dxa"/>
              <w:bottom w:w="80" w:type="dxa"/>
              <w:end w:w="100" w:type="dxa"/>
            </w:tcMar>
          </w:tcPr>
          <w:p>
            <w:pPr>
              <w:spacing w:before="0" w:after="0"/>
            </w:pPr>
            <w:r>
              <w:rPr>
                <w:b/>
                <w:color w:val="FFFFFF"/>
                <w:sz w:val="17"/>
              </w:rPr>
              <w:t>Version</w:t>
            </w:r>
          </w:p>
        </w:tc>
        <w:tc>
          <w:tcPr>
            <w:tcW w:type="dxa" w:w="2520"/>
            <w:shd w:fill="1F4E79"/>
            <w:vAlign w:val="center"/>
            <w:tcMar>
              <w:top w:w="80" w:type="dxa"/>
              <w:start w:w="100" w:type="dxa"/>
              <w:bottom w:w="80" w:type="dxa"/>
              <w:end w:w="100" w:type="dxa"/>
            </w:tcMar>
          </w:tcPr>
          <w:p>
            <w:pPr>
              <w:spacing w:before="0" w:after="0"/>
            </w:pPr>
            <w:r>
              <w:rPr>
                <w:b/>
                <w:color w:val="FFFFFF"/>
                <w:sz w:val="17"/>
              </w:rPr>
              <w:t>Date</w:t>
            </w:r>
          </w:p>
        </w:tc>
        <w:tc>
          <w:tcPr>
            <w:tcW w:type="dxa" w:w="2520"/>
            <w:shd w:fill="1F4E79"/>
            <w:vAlign w:val="center"/>
            <w:tcMar>
              <w:top w:w="80" w:type="dxa"/>
              <w:start w:w="100" w:type="dxa"/>
              <w:bottom w:w="80" w:type="dxa"/>
              <w:end w:w="100" w:type="dxa"/>
            </w:tcMar>
          </w:tcPr>
          <w:p>
            <w:pPr>
              <w:spacing w:before="0" w:after="0"/>
            </w:pPr>
            <w:r>
              <w:rPr>
                <w:b/>
                <w:color w:val="FFFFFF"/>
                <w:sz w:val="17"/>
              </w:rPr>
              <w:t>Change</w:t>
            </w:r>
          </w:p>
        </w:tc>
        <w:tc>
          <w:tcPr>
            <w:tcW w:type="dxa" w:w="2520"/>
            <w:shd w:fill="1F4E79"/>
            <w:vAlign w:val="center"/>
            <w:tcMar>
              <w:top w:w="80" w:type="dxa"/>
              <w:start w:w="100" w:type="dxa"/>
              <w:bottom w:w="80" w:type="dxa"/>
              <w:end w:w="100" w:type="dxa"/>
            </w:tcMar>
          </w:tcPr>
          <w:p>
            <w:pPr>
              <w:spacing w:before="0" w:after="0"/>
            </w:pPr>
            <w:r>
              <w:rPr>
                <w:b/>
                <w:color w:val="FFFFFF"/>
                <w:sz w:val="17"/>
              </w:rPr>
              <w:t>Status</w:t>
            </w:r>
          </w:p>
        </w:tc>
      </w:tr>
      <w:tr>
        <w:trPr>
          <w:cantSplit/>
        </w:trPr>
        <w:tc>
          <w:tcPr>
            <w:tcW w:type="dxa" w:w="2520"/>
            <w:vAlign w:val="center"/>
            <w:tcMar>
              <w:top w:w="80" w:type="dxa"/>
              <w:start w:w="100" w:type="dxa"/>
              <w:bottom w:w="80" w:type="dxa"/>
              <w:end w:w="100" w:type="dxa"/>
            </w:tcMar>
          </w:tcPr>
          <w:p>
            <w:pPr>
              <w:spacing w:before="0" w:after="0"/>
            </w:pPr>
            <w:r>
              <w:rPr>
                <w:sz w:val="17"/>
              </w:rPr>
              <w:t>0.1</w:t>
            </w:r>
          </w:p>
        </w:tc>
        <w:tc>
          <w:tcPr>
            <w:tcW w:type="dxa" w:w="2520"/>
            <w:vAlign w:val="center"/>
            <w:tcMar>
              <w:top w:w="80" w:type="dxa"/>
              <w:start w:w="100" w:type="dxa"/>
              <w:bottom w:w="80" w:type="dxa"/>
              <w:end w:w="100" w:type="dxa"/>
            </w:tcMar>
          </w:tcPr>
          <w:p>
            <w:pPr>
              <w:spacing w:before="0" w:after="0"/>
            </w:pPr>
            <w:r>
              <w:rPr>
                <w:sz w:val="17"/>
              </w:rPr>
              <w:t>16 Jul 2026</w:t>
            </w:r>
          </w:p>
        </w:tc>
        <w:tc>
          <w:tcPr>
            <w:tcW w:type="dxa" w:w="2520"/>
            <w:vAlign w:val="center"/>
            <w:tcMar>
              <w:top w:w="80" w:type="dxa"/>
              <w:start w:w="100" w:type="dxa"/>
              <w:bottom w:w="80" w:type="dxa"/>
              <w:end w:w="100" w:type="dxa"/>
            </w:tcMar>
          </w:tcPr>
          <w:p>
            <w:pPr>
              <w:spacing w:before="0" w:after="0"/>
            </w:pPr>
            <w:r>
              <w:rPr>
                <w:sz w:val="17"/>
              </w:rPr>
              <w:t>Initial architecture working draft</w:t>
            </w:r>
          </w:p>
        </w:tc>
        <w:tc>
          <w:tcPr>
            <w:tcW w:type="dxa" w:w="2520"/>
            <w:vAlign w:val="center"/>
            <w:tcMar>
              <w:top w:w="80" w:type="dxa"/>
              <w:start w:w="100" w:type="dxa"/>
              <w:bottom w:w="80" w:type="dxa"/>
              <w:end w:w="100" w:type="dxa"/>
            </w:tcMar>
          </w:tcPr>
          <w:p>
            <w:pPr>
              <w:spacing w:before="0" w:after="0"/>
            </w:pPr>
            <w:r>
              <w:rPr>
                <w:sz w:val="17"/>
              </w:rPr>
              <w:t>Superseded</w:t>
            </w:r>
          </w:p>
        </w:tc>
      </w:tr>
      <w:tr>
        <w:trPr>
          <w:cantSplit/>
        </w:trPr>
        <w:tc>
          <w:tcPr>
            <w:tcW w:type="dxa" w:w="2520"/>
            <w:vAlign w:val="center"/>
            <w:tcMar>
              <w:top w:w="80" w:type="dxa"/>
              <w:start w:w="100" w:type="dxa"/>
              <w:bottom w:w="80" w:type="dxa"/>
              <w:end w:w="100" w:type="dxa"/>
            </w:tcMar>
          </w:tcPr>
          <w:p>
            <w:pPr>
              <w:spacing w:before="0" w:after="0"/>
            </w:pPr>
            <w:r>
              <w:rPr>
                <w:sz w:val="17"/>
              </w:rPr>
              <w:t>0.2</w:t>
            </w:r>
          </w:p>
        </w:tc>
        <w:tc>
          <w:tcPr>
            <w:tcW w:type="dxa" w:w="2520"/>
            <w:vAlign w:val="center"/>
            <w:tcMar>
              <w:top w:w="80" w:type="dxa"/>
              <w:start w:w="100" w:type="dxa"/>
              <w:bottom w:w="80" w:type="dxa"/>
              <w:end w:w="100" w:type="dxa"/>
            </w:tcMar>
          </w:tcPr>
          <w:p>
            <w:pPr>
              <w:spacing w:before="0" w:after="0"/>
            </w:pPr>
            <w:r>
              <w:rPr>
                <w:sz w:val="17"/>
              </w:rPr>
              <w:t>17 Jul 2026</w:t>
            </w:r>
          </w:p>
        </w:tc>
        <w:tc>
          <w:tcPr>
            <w:tcW w:type="dxa" w:w="2520"/>
            <w:vAlign w:val="center"/>
            <w:tcMar>
              <w:top w:w="80" w:type="dxa"/>
              <w:start w:w="100" w:type="dxa"/>
              <w:bottom w:w="80" w:type="dxa"/>
              <w:end w:w="100" w:type="dxa"/>
            </w:tcMar>
          </w:tcPr>
          <w:p>
            <w:pPr>
              <w:spacing w:before="0" w:after="0"/>
            </w:pPr>
            <w:r>
              <w:rPr>
                <w:sz w:val="17"/>
              </w:rPr>
              <w:t>Added operational and coordinate diagrams</w:t>
            </w:r>
          </w:p>
        </w:tc>
        <w:tc>
          <w:tcPr>
            <w:tcW w:type="dxa" w:w="2520"/>
            <w:vAlign w:val="center"/>
            <w:tcMar>
              <w:top w:w="80" w:type="dxa"/>
              <w:start w:w="100" w:type="dxa"/>
              <w:bottom w:w="80" w:type="dxa"/>
              <w:end w:w="100" w:type="dxa"/>
            </w:tcMar>
          </w:tcPr>
          <w:p>
            <w:pPr>
              <w:spacing w:before="0" w:after="0"/>
            </w:pPr>
            <w:r>
              <w:rPr>
                <w:sz w:val="17"/>
              </w:rPr>
              <w:t>Superseded</w:t>
            </w:r>
          </w:p>
        </w:tc>
      </w:tr>
      <w:tr>
        <w:trPr>
          <w:cantSplit/>
        </w:trPr>
        <w:tc>
          <w:tcPr>
            <w:tcW w:type="dxa" w:w="2520"/>
            <w:vAlign w:val="center"/>
            <w:tcMar>
              <w:top w:w="80" w:type="dxa"/>
              <w:start w:w="100" w:type="dxa"/>
              <w:bottom w:w="80" w:type="dxa"/>
              <w:end w:w="100" w:type="dxa"/>
            </w:tcMar>
          </w:tcPr>
          <w:p>
            <w:pPr>
              <w:spacing w:before="0" w:after="0"/>
            </w:pPr>
            <w:r>
              <w:rPr>
                <w:sz w:val="17"/>
              </w:rPr>
              <w:t>0.3</w:t>
            </w:r>
          </w:p>
        </w:tc>
        <w:tc>
          <w:tcPr>
            <w:tcW w:type="dxa" w:w="2520"/>
            <w:vAlign w:val="center"/>
            <w:tcMar>
              <w:top w:w="80" w:type="dxa"/>
              <w:start w:w="100" w:type="dxa"/>
              <w:bottom w:w="80" w:type="dxa"/>
              <w:end w:w="100" w:type="dxa"/>
            </w:tcMar>
          </w:tcPr>
          <w:p>
            <w:pPr>
              <w:spacing w:before="0" w:after="0"/>
            </w:pPr>
            <w:r>
              <w:rPr>
                <w:sz w:val="17"/>
              </w:rPr>
              <w:t>17 Jul 2026</w:t>
            </w:r>
          </w:p>
        </w:tc>
        <w:tc>
          <w:tcPr>
            <w:tcW w:type="dxa" w:w="2520"/>
            <w:vAlign w:val="center"/>
            <w:tcMar>
              <w:top w:w="80" w:type="dxa"/>
              <w:start w:w="100" w:type="dxa"/>
              <w:bottom w:w="80" w:type="dxa"/>
              <w:end w:w="100" w:type="dxa"/>
            </w:tcMar>
          </w:tcPr>
          <w:p>
            <w:pPr>
              <w:spacing w:before="0" w:after="0"/>
            </w:pPr>
            <w:r>
              <w:rPr>
                <w:sz w:val="17"/>
              </w:rPr>
              <w:t>Scheduler, navigation and pointing baseline</w:t>
            </w:r>
          </w:p>
        </w:tc>
        <w:tc>
          <w:tcPr>
            <w:tcW w:type="dxa" w:w="2520"/>
            <w:vAlign w:val="center"/>
            <w:tcMar>
              <w:top w:w="80" w:type="dxa"/>
              <w:start w:w="100" w:type="dxa"/>
              <w:bottom w:w="80" w:type="dxa"/>
              <w:end w:w="100" w:type="dxa"/>
            </w:tcMar>
          </w:tcPr>
          <w:p>
            <w:pPr>
              <w:spacing w:before="0" w:after="0"/>
            </w:pPr>
            <w:r>
              <w:rPr>
                <w:sz w:val="17"/>
              </w:rPr>
              <w:t>Superseded</w:t>
            </w:r>
          </w:p>
        </w:tc>
      </w:tr>
      <w:tr>
        <w:trPr>
          <w:cantSplit/>
        </w:trPr>
        <w:tc>
          <w:tcPr>
            <w:tcW w:type="dxa" w:w="2520"/>
            <w:vAlign w:val="center"/>
            <w:tcMar>
              <w:top w:w="80" w:type="dxa"/>
              <w:start w:w="100" w:type="dxa"/>
              <w:bottom w:w="80" w:type="dxa"/>
              <w:end w:w="100" w:type="dxa"/>
            </w:tcMar>
          </w:tcPr>
          <w:p>
            <w:pPr>
              <w:spacing w:before="0" w:after="0"/>
            </w:pPr>
            <w:r>
              <w:rPr>
                <w:sz w:val="17"/>
              </w:rPr>
              <w:t>0.4</w:t>
            </w:r>
          </w:p>
        </w:tc>
        <w:tc>
          <w:tcPr>
            <w:tcW w:type="dxa" w:w="2520"/>
            <w:vAlign w:val="center"/>
            <w:tcMar>
              <w:top w:w="80" w:type="dxa"/>
              <w:start w:w="100" w:type="dxa"/>
              <w:bottom w:w="80" w:type="dxa"/>
              <w:end w:w="100" w:type="dxa"/>
            </w:tcMar>
          </w:tcPr>
          <w:p>
            <w:pPr>
              <w:spacing w:before="0" w:after="0"/>
            </w:pPr>
            <w:r>
              <w:rPr>
                <w:sz w:val="17"/>
              </w:rPr>
              <w:t>17 Jul 2026</w:t>
            </w:r>
          </w:p>
        </w:tc>
        <w:tc>
          <w:tcPr>
            <w:tcW w:type="dxa" w:w="2520"/>
            <w:vAlign w:val="center"/>
            <w:tcMar>
              <w:top w:w="80" w:type="dxa"/>
              <w:start w:w="100" w:type="dxa"/>
              <w:bottom w:w="80" w:type="dxa"/>
              <w:end w:w="100" w:type="dxa"/>
            </w:tcMar>
          </w:tcPr>
          <w:p>
            <w:pPr>
              <w:spacing w:before="0" w:after="0"/>
            </w:pPr>
            <w:r>
              <w:rPr>
                <w:sz w:val="17"/>
              </w:rPr>
              <w:t>Formalised RadarExecutor boundary</w:t>
            </w:r>
          </w:p>
        </w:tc>
        <w:tc>
          <w:tcPr>
            <w:tcW w:type="dxa" w:w="2520"/>
            <w:vAlign w:val="center"/>
            <w:tcMar>
              <w:top w:w="80" w:type="dxa"/>
              <w:start w:w="100" w:type="dxa"/>
              <w:bottom w:w="80" w:type="dxa"/>
              <w:end w:w="100" w:type="dxa"/>
            </w:tcMar>
          </w:tcPr>
          <w:p>
            <w:pPr>
              <w:spacing w:before="0" w:after="0"/>
            </w:pPr>
            <w:r>
              <w:rPr>
                <w:sz w:val="17"/>
              </w:rPr>
              <w:t>Superseded</w:t>
            </w:r>
          </w:p>
        </w:tc>
      </w:tr>
      <w:tr>
        <w:trPr>
          <w:cantSplit/>
        </w:trPr>
        <w:tc>
          <w:tcPr>
            <w:tcW w:type="dxa" w:w="2520"/>
            <w:vAlign w:val="center"/>
            <w:tcMar>
              <w:top w:w="80" w:type="dxa"/>
              <w:start w:w="100" w:type="dxa"/>
              <w:bottom w:w="80" w:type="dxa"/>
              <w:end w:w="100" w:type="dxa"/>
            </w:tcMar>
          </w:tcPr>
          <w:p>
            <w:pPr>
              <w:spacing w:before="0" w:after="0"/>
            </w:pPr>
            <w:r>
              <w:rPr>
                <w:sz w:val="17"/>
              </w:rPr>
              <w:t>0.5</w:t>
            </w:r>
          </w:p>
        </w:tc>
        <w:tc>
          <w:tcPr>
            <w:tcW w:type="dxa" w:w="2520"/>
            <w:vAlign w:val="center"/>
            <w:tcMar>
              <w:top w:w="80" w:type="dxa"/>
              <w:start w:w="100" w:type="dxa"/>
              <w:bottom w:w="80" w:type="dxa"/>
              <w:end w:w="100" w:type="dxa"/>
            </w:tcMar>
          </w:tcPr>
          <w:p>
            <w:pPr>
              <w:spacing w:before="0" w:after="0"/>
            </w:pPr>
            <w:r>
              <w:rPr>
                <w:sz w:val="17"/>
              </w:rPr>
              <w:t>17 Jul 2026</w:t>
            </w:r>
          </w:p>
        </w:tc>
        <w:tc>
          <w:tcPr>
            <w:tcW w:type="dxa" w:w="2520"/>
            <w:vAlign w:val="center"/>
            <w:tcMar>
              <w:top w:w="80" w:type="dxa"/>
              <w:start w:w="100" w:type="dxa"/>
              <w:bottom w:w="80" w:type="dxa"/>
              <w:end w:w="100" w:type="dxa"/>
            </w:tcMar>
          </w:tcPr>
          <w:p>
            <w:pPr>
              <w:spacing w:before="0" w:after="0"/>
            </w:pPr>
            <w:r>
              <w:rPr>
                <w:sz w:val="17"/>
              </w:rPr>
              <w:t>Integrated scheduler task selection</w:t>
            </w:r>
          </w:p>
        </w:tc>
        <w:tc>
          <w:tcPr>
            <w:tcW w:type="dxa" w:w="2520"/>
            <w:vAlign w:val="center"/>
            <w:tcMar>
              <w:top w:w="80" w:type="dxa"/>
              <w:start w:w="100" w:type="dxa"/>
              <w:bottom w:w="80" w:type="dxa"/>
              <w:end w:w="100" w:type="dxa"/>
            </w:tcMar>
          </w:tcPr>
          <w:p>
            <w:pPr>
              <w:spacing w:before="0" w:after="0"/>
            </w:pPr>
            <w:r>
              <w:rPr>
                <w:sz w:val="17"/>
              </w:rPr>
              <w:t>Superseded</w:t>
            </w:r>
          </w:p>
        </w:tc>
      </w:tr>
      <w:tr>
        <w:trPr>
          <w:cantSplit/>
        </w:trPr>
        <w:tc>
          <w:tcPr>
            <w:tcW w:type="dxa" w:w="2520"/>
            <w:vAlign w:val="center"/>
            <w:tcMar>
              <w:top w:w="80" w:type="dxa"/>
              <w:start w:w="100" w:type="dxa"/>
              <w:bottom w:w="80" w:type="dxa"/>
              <w:end w:w="100" w:type="dxa"/>
            </w:tcMar>
          </w:tcPr>
          <w:p>
            <w:pPr>
              <w:spacing w:before="0" w:after="0"/>
            </w:pPr>
            <w:r>
              <w:rPr>
                <w:sz w:val="17"/>
              </w:rPr>
              <w:t>0.6</w:t>
            </w:r>
          </w:p>
        </w:tc>
        <w:tc>
          <w:tcPr>
            <w:tcW w:type="dxa" w:w="2520"/>
            <w:vAlign w:val="center"/>
            <w:tcMar>
              <w:top w:w="80" w:type="dxa"/>
              <w:start w:w="100" w:type="dxa"/>
              <w:bottom w:w="80" w:type="dxa"/>
              <w:end w:w="100" w:type="dxa"/>
            </w:tcMar>
          </w:tcPr>
          <w:p>
            <w:pPr>
              <w:spacing w:before="0" w:after="0"/>
            </w:pPr>
            <w:r>
              <w:rPr>
                <w:sz w:val="17"/>
              </w:rPr>
              <w:t>18 Jul 2026</w:t>
            </w:r>
          </w:p>
        </w:tc>
        <w:tc>
          <w:tcPr>
            <w:tcW w:type="dxa" w:w="2520"/>
            <w:vAlign w:val="center"/>
            <w:tcMar>
              <w:top w:w="80" w:type="dxa"/>
              <w:start w:w="100" w:type="dxa"/>
              <w:bottom w:w="80" w:type="dxa"/>
              <w:end w:w="100" w:type="dxa"/>
            </w:tcMar>
          </w:tcPr>
          <w:p>
            <w:pPr>
              <w:spacing w:before="0" w:after="0"/>
            </w:pPr>
            <w:r>
              <w:rPr>
                <w:sz w:val="17"/>
              </w:rPr>
              <w:t>PointingManager operational ownership</w:t>
            </w:r>
          </w:p>
        </w:tc>
        <w:tc>
          <w:tcPr>
            <w:tcW w:type="dxa" w:w="2520"/>
            <w:vAlign w:val="center"/>
            <w:tcMar>
              <w:top w:w="80" w:type="dxa"/>
              <w:start w:w="100" w:type="dxa"/>
              <w:bottom w:w="80" w:type="dxa"/>
              <w:end w:w="100" w:type="dxa"/>
            </w:tcMar>
          </w:tcPr>
          <w:p>
            <w:pPr>
              <w:spacing w:before="0" w:after="0"/>
            </w:pPr>
            <w:r>
              <w:rPr>
                <w:sz w:val="17"/>
              </w:rPr>
              <w:t>Superseded</w:t>
            </w:r>
          </w:p>
        </w:tc>
      </w:tr>
      <w:tr>
        <w:trPr>
          <w:cantSplit/>
        </w:trPr>
        <w:tc>
          <w:tcPr>
            <w:tcW w:type="dxa" w:w="2520"/>
            <w:vAlign w:val="center"/>
            <w:tcMar>
              <w:top w:w="80" w:type="dxa"/>
              <w:start w:w="100" w:type="dxa"/>
              <w:bottom w:w="80" w:type="dxa"/>
              <w:end w:w="100" w:type="dxa"/>
            </w:tcMar>
          </w:tcPr>
          <w:p>
            <w:pPr>
              <w:spacing w:before="0" w:after="0"/>
            </w:pPr>
            <w:r>
              <w:rPr>
                <w:sz w:val="17"/>
              </w:rPr>
              <w:t>0.7</w:t>
            </w:r>
          </w:p>
        </w:tc>
        <w:tc>
          <w:tcPr>
            <w:tcW w:type="dxa" w:w="2520"/>
            <w:vAlign w:val="center"/>
            <w:tcMar>
              <w:top w:w="80" w:type="dxa"/>
              <w:start w:w="100" w:type="dxa"/>
              <w:bottom w:w="80" w:type="dxa"/>
              <w:end w:w="100" w:type="dxa"/>
            </w:tcMar>
          </w:tcPr>
          <w:p>
            <w:pPr>
              <w:spacing w:before="0" w:after="0"/>
            </w:pPr>
            <w:r>
              <w:rPr>
                <w:sz w:val="17"/>
              </w:rPr>
              <w:t>17 Jul 2026</w:t>
            </w:r>
          </w:p>
        </w:tc>
        <w:tc>
          <w:tcPr>
            <w:tcW w:type="dxa" w:w="2520"/>
            <w:vAlign w:val="center"/>
            <w:tcMar>
              <w:top w:w="80" w:type="dxa"/>
              <w:start w:w="100" w:type="dxa"/>
              <w:bottom w:w="80" w:type="dxa"/>
              <w:end w:w="100" w:type="dxa"/>
            </w:tcMar>
          </w:tcPr>
          <w:p>
            <w:pPr>
              <w:spacing w:before="0" w:after="0"/>
            </w:pPr>
            <w:r>
              <w:rPr>
                <w:sz w:val="17"/>
              </w:rPr>
              <w:t>Hardware-timed Ettus receive baseline and SDR execution architecture</w:t>
            </w:r>
          </w:p>
        </w:tc>
        <w:tc>
          <w:tcPr>
            <w:tcW w:type="dxa" w:w="2520"/>
            <w:vAlign w:val="center"/>
            <w:tcMar>
              <w:top w:w="80" w:type="dxa"/>
              <w:start w:w="100" w:type="dxa"/>
              <w:bottom w:w="80" w:type="dxa"/>
              <w:end w:w="100" w:type="dxa"/>
            </w:tcMar>
          </w:tcPr>
          <w:p>
            <w:pPr>
              <w:spacing w:before="0" w:after="0"/>
            </w:pPr>
            <w:r>
              <w:rPr>
                <w:sz w:val="17"/>
              </w:rPr>
              <w:t>Superseded</w:t>
            </w:r>
          </w:p>
        </w:tc>
      </w:tr>
      <w:tr>
        <w:trPr>
          <w:cantSplit/>
        </w:trPr>
        <w:tc>
          <w:tcPr>
            <w:tcW w:type="dxa" w:w="2520"/>
            <w:tcW w:type="dxa" w:w="2520"/>
            <w:vAlign w:val="center"/>
            <w:tcMar>
              <w:top w:w="80" w:type="dxa"/>
              <w:start w:w="100" w:type="dxa"/>
              <w:bottom w:w="80" w:type="dxa"/>
              <w:end w:w="100" w:type="dxa"/>
            </w:tcMar>
          </w:tcPr>
          <w:p>
            <w:pPr>
              <w:spacing w:before="0" w:after="0"/>
            </w:pPr>
            <w:r>
              <w:rPr>
                <w:sz w:val="17"/>
              </w:rPr>
              <w:t>0.7b</w:t>
            </w:r>
          </w:p>
        </w:tc>
        <w:tc>
          <w:tcPr>
            <w:tcW w:type="dxa" w:w="2520"/>
            <w:tcW w:type="dxa" w:w="2520"/>
            <w:vAlign w:val="center"/>
            <w:tcMar>
              <w:top w:w="80" w:type="dxa"/>
              <w:start w:w="100" w:type="dxa"/>
              <w:bottom w:w="80" w:type="dxa"/>
              <w:end w:w="100" w:type="dxa"/>
            </w:tcMar>
          </w:tcPr>
          <w:p>
            <w:pPr>
              <w:spacing w:before="0" w:after="0"/>
            </w:pPr>
            <w:r>
              <w:rPr>
                <w:sz w:val="17"/>
              </w:rPr>
              <w:t>18 Jul 2026</w:t>
            </w:r>
          </w:p>
        </w:tc>
        <w:tc>
          <w:tcPr>
            <w:tcW w:type="dxa" w:w="2520"/>
            <w:tcW w:type="dxa" w:w="2520"/>
            <w:vAlign w:val="center"/>
            <w:tcMar>
              <w:top w:w="80" w:type="dxa"/>
              <w:start w:w="100" w:type="dxa"/>
              <w:bottom w:w="80" w:type="dxa"/>
              <w:end w:w="100" w:type="dxa"/>
            </w:tcMar>
          </w:tcPr>
          <w:p>
            <w:pPr>
              <w:spacing w:before="0" w:after="0"/>
            </w:pPr>
            <w:r>
              <w:rPr>
                <w:sz w:val="17"/>
              </w:rPr>
              <w:t>Fixed 40 MS/s waveform sampling, operator PRF/CPI controls and range-derived receive timing decisions</w:t>
            </w:r>
          </w:p>
        </w:tc>
        <w:tc>
          <w:tcPr>
            <w:tcW w:type="dxa" w:w="2520"/>
            <w:tcW w:type="dxa" w:w="2520"/>
            <w:vAlign w:val="center"/>
            <w:tcMar>
              <w:top w:w="80" w:type="dxa"/>
              <w:start w:w="100" w:type="dxa"/>
              <w:bottom w:w="80" w:type="dxa"/>
              <w:end w:w="100" w:type="dxa"/>
            </w:tcMar>
          </w:tcPr>
          <w:p>
            <w:pPr>
              <w:spacing w:before="0" w:after="0"/>
            </w:pPr>
            <w:r>
              <w:rPr>
                <w:sz w:val="17"/>
              </w:rPr>
              <w:t>Superseded</w:t>
            </w:r>
          </w:p>
        </w:tc>
      </w:tr>
      <w:tr>
        <w:trPr>
          <w:cantSplit/>
        </w:trPr>
        <w:tc>
          <w:tcPr>
            <w:tcW w:type="dxa" w:w="2520"/>
            <w:tcW w:type="dxa" w:w="2520"/>
            <w:vAlign w:val="center"/>
            <w:tcMar>
              <w:top w:w="80" w:type="dxa"/>
              <w:start w:w="100" w:type="dxa"/>
              <w:bottom w:w="80" w:type="dxa"/>
              <w:end w:w="100" w:type="dxa"/>
            </w:tcMar>
          </w:tcPr>
          <w:p>
            <w:pPr>
              <w:spacing w:before="0" w:after="0"/>
            </w:pPr>
            <w:r>
              <w:rPr>
                <w:sz w:val="17"/>
              </w:rPr>
              <w:t>0.7c</w:t>
            </w:r>
          </w:p>
        </w:tc>
        <w:tc>
          <w:tcPr>
            <w:tcW w:type="dxa" w:w="2520"/>
            <w:tcW w:type="dxa" w:w="2520"/>
            <w:vAlign w:val="center"/>
            <w:tcMar>
              <w:top w:w="80" w:type="dxa"/>
              <w:start w:w="100" w:type="dxa"/>
              <w:bottom w:w="80" w:type="dxa"/>
              <w:end w:w="100" w:type="dxa"/>
            </w:tcMar>
          </w:tcPr>
          <w:p>
            <w:pPr>
              <w:spacing w:before="0" w:after="0"/>
            </w:pPr>
            <w:r>
              <w:rPr>
                <w:sz w:val="17"/>
              </w:rPr>
              <w:t>18 Jul 2026</w:t>
            </w:r>
          </w:p>
        </w:tc>
        <w:tc>
          <w:tcPr>
            <w:tcW w:type="dxa" w:w="2520"/>
            <w:tcW w:type="dxa" w:w="2520"/>
            <w:vAlign w:val="center"/>
            <w:tcMar>
              <w:top w:w="80" w:type="dxa"/>
              <w:start w:w="100" w:type="dxa"/>
              <w:bottom w:w="80" w:type="dxa"/>
              <w:end w:w="100" w:type="dxa"/>
            </w:tcMar>
          </w:tcPr>
          <w:p>
            <w:pPr>
              <w:spacing w:before="0" w:after="0"/>
            </w:pPr>
            <w:r>
              <w:rPr>
                <w:sz w:val="17"/>
              </w:rPr>
              <w:t>Implemented waveform/timing controls and recorded bounded timed TX/RX B200mini validation through 4 kHz and 128 pulses</w:t>
            </w:r>
          </w:p>
        </w:tc>
        <w:tc>
          <w:tcPr>
            <w:tcW w:type="dxa" w:w="2520"/>
            <w:tcW w:type="dxa" w:w="2520"/>
            <w:vAlign w:val="center"/>
            <w:tcMar>
              <w:top w:w="80" w:type="dxa"/>
              <w:start w:w="100" w:type="dxa"/>
              <w:bottom w:w="80" w:type="dxa"/>
              <w:end w:w="100" w:type="dxa"/>
            </w:tcMar>
          </w:tcPr>
          <w:p>
            <w:pPr>
              <w:spacing w:before="0" w:after="0"/>
            </w:pPr>
            <w:r>
              <w:rPr>
                <w:sz w:val="17"/>
              </w:rPr>
              <w:t>Superseded</w:t>
            </w:r>
          </w:p>
        </w:tc>
      </w:tr>
      <w:tr>
        <w:trPr>
          <w:cantSplit/>
        </w:trPr>
        <w:tc>
          <w:tcPr>
            <w:tcW w:type="dxa" w:w="2520"/>
            <w:vAlign w:val="center"/>
            <w:tcMar>
              <w:top w:w="80" w:type="dxa"/>
              <w:start w:w="100" w:type="dxa"/>
              <w:bottom w:w="80" w:type="dxa"/>
              <w:end w:w="100" w:type="dxa"/>
            </w:tcMar>
          </w:tcPr>
          <w:p>
            <w:pPr>
              <w:spacing w:before="0" w:after="0"/>
            </w:pPr>
            <w:r>
              <w:rPr>
                <w:sz w:val="17"/>
              </w:rPr>
              <w:t>0.7d</w:t>
            </w:r>
          </w:p>
        </w:tc>
        <w:tc>
          <w:tcPr>
            <w:tcW w:type="dxa" w:w="2520"/>
            <w:vAlign w:val="center"/>
            <w:tcMar>
              <w:top w:w="80" w:type="dxa"/>
              <w:start w:w="100" w:type="dxa"/>
              <w:bottom w:w="80" w:type="dxa"/>
              <w:end w:w="100" w:type="dxa"/>
            </w:tcMar>
          </w:tcPr>
          <w:p>
            <w:pPr>
              <w:spacing w:before="0" w:after="0"/>
            </w:pPr>
            <w:r>
              <w:rPr>
                <w:sz w:val="17"/>
              </w:rPr>
              <w:t>18 Jul 2026</w:t>
            </w:r>
          </w:p>
        </w:tc>
        <w:tc>
          <w:tcPr>
            <w:tcW w:type="dxa" w:w="2520"/>
            <w:vAlign w:val="center"/>
            <w:tcMar>
              <w:top w:w="80" w:type="dxa"/>
              <w:start w:w="100" w:type="dxa"/>
              <w:bottom w:w="80" w:type="dxa"/>
              <w:end w:w="100" w:type="dxa"/>
            </w:tcMar>
          </w:tcPr>
          <w:p>
            <w:pPr>
              <w:spacing w:before="0" w:after="0"/>
            </w:pPr>
            <w:r>
              <w:rPr>
                <w:sz w:val="17"/>
              </w:rPr>
              <w:t>Documented waveform catalogue ownership, scheduler/dwell lifecycle and adaptive mission profiles</w:t>
            </w:r>
          </w:p>
        </w:tc>
        <w:tc>
          <w:tcPr>
            <w:tcW w:type="dxa" w:w="2520"/>
            <w:vAlign w:val="center"/>
            <w:tcMar>
              <w:top w:w="80" w:type="dxa"/>
              <w:start w:w="100" w:type="dxa"/>
              <w:bottom w:w="80" w:type="dxa"/>
              <w:end w:w="100" w:type="dxa"/>
            </w:tcMar>
          </w:tcPr>
          <w:p>
            <w:pPr>
              <w:spacing w:before="0" w:after="0"/>
            </w:pPr>
            <w:r>
              <w:rPr>
                <w:sz w:val="17"/>
              </w:rPr>
              <w:t>Superseded</w:t>
            </w:r>
          </w:p>
        </w:tc>
      </w:tr>
      <w:tr>
        <w:trPr>
          <w:cantSplit/>
        </w:trPr>
        <w:tc>
          <w:tcPr>
            <w:tcW w:type="dxa" w:w="2520"/>
            <w:vAlign w:val="center"/>
            <w:tcMar>
              <w:top w:w="80" w:type="dxa"/>
              <w:start w:w="100" w:type="dxa"/>
              <w:bottom w:w="80" w:type="dxa"/>
              <w:end w:w="100" w:type="dxa"/>
            </w:tcMar>
          </w:tcPr>
          <w:p>
            <w:pPr>
              <w:spacing w:before="0" w:after="0"/>
            </w:pPr>
            <w:r>
              <w:rPr>
                <w:sz w:val="17"/>
              </w:rPr>
              <w:t>0.7e</w:t>
            </w:r>
          </w:p>
        </w:tc>
        <w:tc>
          <w:tcPr>
            <w:tcW w:type="dxa" w:w="2520"/>
            <w:vAlign w:val="center"/>
            <w:tcMar>
              <w:top w:w="80" w:type="dxa"/>
              <w:start w:w="100" w:type="dxa"/>
              <w:bottom w:w="80" w:type="dxa"/>
              <w:end w:w="100" w:type="dxa"/>
            </w:tcMar>
          </w:tcPr>
          <w:p>
            <w:pPr>
              <w:spacing w:before="0" w:after="0"/>
            </w:pPr>
            <w:r>
              <w:rPr>
                <w:sz w:val="17"/>
              </w:rPr>
              <w:t>19 Jul 2026</w:t>
            </w:r>
          </w:p>
        </w:tc>
        <w:tc>
          <w:tcPr>
            <w:tcW w:type="dxa" w:w="2520"/>
            <w:vAlign w:val="center"/>
            <w:tcMar>
              <w:top w:w="80" w:type="dxa"/>
              <w:start w:w="100" w:type="dxa"/>
              <w:bottom w:w="80" w:type="dxa"/>
              <w:end w:w="100" w:type="dxa"/>
            </w:tcMar>
          </w:tcPr>
          <w:p>
            <w:pPr>
              <w:spacing w:before="0" w:after="0"/>
            </w:pPr>
            <w:r>
              <w:rPr>
                <w:sz w:val="17"/>
              </w:rPr>
              <w:t>Defined CPI duration versus scheduler cadence and recorded the hardware-proven 5 ms command lead at 4 kHz/128 pulses</w:t>
            </w:r>
          </w:p>
        </w:tc>
        <w:tc>
          <w:tcPr>
            <w:tcW w:type="dxa" w:w="2520"/>
            <w:vAlign w:val="center"/>
            <w:tcMar>
              <w:top w:w="80" w:type="dxa"/>
              <w:start w:w="100" w:type="dxa"/>
              <w:bottom w:w="80" w:type="dxa"/>
              <w:end w:w="100" w:type="dxa"/>
            </w:tcMar>
          </w:tcPr>
          <w:p>
            <w:pPr>
              <w:spacing w:before="0" w:after="0"/>
            </w:pPr>
            <w:r>
              <w:rPr>
                <w:sz w:val="17"/>
              </w:rPr>
              <w:t>Superseded</w:t>
            </w:r>
          </w:p>
        </w:tc>
      </w:tr>
      <w:tr>
        <w:trPr>
          <w:cantSplit/>
        </w:trPr>
        <w:tc>
          <w:tcPr>
            <w:tcW w:type="dxa" w:w="2520"/>
            <w:vAlign w:val="center"/>
            <w:tcMar>
              <w:top w:w="80" w:type="dxa"/>
              <w:start w:w="100" w:type="dxa"/>
              <w:bottom w:w="80" w:type="dxa"/>
              <w:end w:w="100" w:type="dxa"/>
            </w:tcMar>
          </w:tcPr>
          <w:p>
            <w:pPr>
              <w:spacing w:before="0" w:after="0"/>
            </w:pPr>
            <w:r>
              <w:rPr>
                <w:sz w:val="17"/>
              </w:rPr>
              <w:t>0.7f</w:t>
            </w:r>
          </w:p>
        </w:tc>
        <w:tc>
          <w:tcPr>
            <w:tcW w:type="dxa" w:w="2520"/>
            <w:vAlign w:val="center"/>
            <w:tcMar>
              <w:top w:w="80" w:type="dxa"/>
              <w:start w:w="100" w:type="dxa"/>
              <w:bottom w:w="80" w:type="dxa"/>
              <w:end w:w="100" w:type="dxa"/>
            </w:tcMar>
          </w:tcPr>
          <w:p>
            <w:pPr>
              <w:spacing w:before="0" w:after="0"/>
            </w:pPr>
            <w:r>
              <w:rPr>
                <w:sz w:val="17"/>
              </w:rPr>
              <w:t>20 Jul 2026</w:t>
            </w:r>
          </w:p>
        </w:tc>
        <w:tc>
          <w:tcPr>
            <w:tcW w:type="dxa" w:w="2520"/>
            <w:vAlign w:val="center"/>
            <w:tcMar>
              <w:top w:w="80" w:type="dxa"/>
              <w:start w:w="100" w:type="dxa"/>
              <w:bottom w:w="80" w:type="dxa"/>
              <w:end w:w="100" w:type="dxa"/>
            </w:tcMar>
          </w:tcPr>
          <w:p>
            <w:pPr>
              <w:spacing w:before="0" w:after="0"/>
            </w:pPr>
            <w:r>
              <w:rPr>
                <w:sz w:val="17"/>
              </w:rPr>
              <w:t>Added CRO evidence for B200mini ATR timing and accepted an 8-sample/200 ns leading-zero transmit pre-roll</w:t>
            </w:r>
          </w:p>
        </w:tc>
        <w:tc>
          <w:tcPr>
            <w:tcW w:type="dxa" w:w="2520"/>
            <w:vAlign w:val="center"/>
            <w:tcMar>
              <w:top w:w="80" w:type="dxa"/>
              <w:start w:w="100" w:type="dxa"/>
              <w:bottom w:w="80" w:type="dxa"/>
              <w:end w:w="100" w:type="dxa"/>
            </w:tcMar>
          </w:tcPr>
          <w:p>
            <w:r>
              <w:t>Superseded</w:t>
            </w:r>
          </w:p>
        </w:tc>
      </w:tr>
      <w:tr>
        <w:trPr>
          <w:cantSplit/>
        </w:trPr>
        <w:tc>
          <w:tcPr>
            <w:tcW w:type="dxa" w:w="2520"/>
          </w:tcPr>
          <w:p>
            <w:r>
              <w:t>0.8</w:t>
            </w:r>
          </w:p>
        </w:tc>
        <w:tc>
          <w:tcPr>
            <w:tcW w:type="dxa" w:w="2520"/>
          </w:tcPr>
          <w:p>
            <w:r>
              <w:t>22 Jul 2026</w:t>
            </w:r>
          </w:p>
        </w:tc>
        <w:tc>
          <w:tcPr>
            <w:tcW w:type="dxa" w:w="2520"/>
          </w:tcPr>
          <w:p>
            <w:r>
              <w:t>Operational Golay A/B timing, guarded loopback/ATR profiles, X6-60 SocketCAN motion and encoder integration, current-position startup, 20 deg/s scan evidence and North-up PPI convention</w:t>
            </w:r>
          </w:p>
        </w:tc>
        <w:tc>
          <w:tcPr>
            <w:tcW w:type="dxa" w:w="2520"/>
          </w:tcPr>
          <w:p>
            <w:r>
              <w:t>Current</w:t>
            </w:r>
          </w:p>
        </w:tc>
      </w:tr>
    </w:tbl>
    <w:p>
      <w:pPr>
        <w:pStyle w:val="Heading2"/>
      </w:pPr>
      <w:r>
        <w:t>Approval and configuration status</w:t>
      </w:r>
    </w:p>
    <w:p>
      <w:r>
        <w:t>This document is an engineering baseline under Git configuration control. Changes to accepted architecture decisions shall be recorded through an Architecture Decision Record (ADR) and reflected in the version history.</w:t>
      </w:r>
    </w:p>
    <w:p>
      <w:pPr>
        <w:pStyle w:val="Heading2"/>
      </w:pPr>
      <w:r>
        <w:t>Architecture decision summary</w:t>
      </w:r>
    </w:p>
    <w:p>
      <w:pPr>
        <w:pStyle w:val="ListBullet"/>
      </w:pPr>
      <w:r>
        <w:t>ADR-0001: Introduce PulsePlan, DwellPlan and ProcessingPlan.</w:t>
      </w:r>
    </w:p>
    <w:p>
      <w:pPr>
        <w:pStyle w:val="ListBullet"/>
      </w:pPr>
      <w:r>
        <w:t>ADR-0002: Separate RadarScheduler from PointingManager.</w:t>
      </w:r>
    </w:p>
    <w:p>
      <w:pPr>
        <w:pStyle w:val="ListBullet"/>
      </w:pPr>
      <w:r>
        <w:t>ADR-0003: Use TRUE-fixed track coordinates and platform-relative motor commands.</w:t>
      </w:r>
    </w:p>
    <w:p>
      <w:pPr>
        <w:pStyle w:val="ListBullet"/>
      </w:pPr>
      <w:r>
        <w:t>ADR-0004: Validate architectural behaviour against simulation before hardware integration.</w:t>
      </w:r>
    </w:p>
    <w:p>
      <w:pPr>
        <w:pStyle w:val="ListBullet"/>
      </w:pPr>
      <w:r>
        <w:t>ADR-0005: STM32 is slow control; Ettus ATR owns fast T/R switching.</w:t>
      </w:r>
    </w:p>
    <w:p>
      <w:pPr>
        <w:pStyle w:val="ListBullet"/>
      </w:pPr>
      <w:r>
        <w:t>ADR-0006: RadarExecutor owns execution semantics and source execution.</w:t>
      </w:r>
    </w:p>
    <w:p>
      <w:pPr>
        <w:pStyle w:val="ListBullet"/>
      </w:pPr>
      <w:r>
        <w:t>ADR-0007: PointingManager is the sole motor-command owner.</w:t>
      </w:r>
    </w:p>
    <w:p>
      <w:pPr>
        <w:pStyle w:val="ListBullet"/>
      </w:pPr>
      <w:r>
        <w:t>ADR-0008: SDR hardware time owns pulse and receive-window timing.</w:t>
      </w:r>
    </w:p>
    <w:p>
      <w:pPr>
        <w:pStyle w:val="ListBullet"/>
      </w:pPr>
      <w:r>
        <w:t>ADR-0009: Command lead time is applied once per dwell.</w:t>
      </w:r>
    </w:p>
    <w:p>
      <w:pPr>
        <w:pStyle w:val="ListBullet"/>
      </w:pPr>
      <w:r>
        <w:t>ADR-0010: Use a fixed 40 MS/s SDR sample rate for the initial hardware path.</w:t>
      </w:r>
    </w:p>
    <w:p>
      <w:pPr>
        <w:pStyle w:val="ListBullet"/>
      </w:pPr>
      <w:r>
        <w:t>ADR-0011: Use one authoritative sampled waveform for transmit, simulation and matched filtering.</w:t>
      </w:r>
    </w:p>
    <w:p>
      <w:pPr>
        <w:pStyle w:val="ListBullet"/>
      </w:pPr>
      <w:r>
        <w:t>ADR-0012: Make PRF and pulses per CPI operator-selectable within validated limits.</w:t>
      </w:r>
    </w:p>
    <w:p>
      <w:pPr>
        <w:pStyle w:val="ListBullet"/>
      </w:pPr>
      <w:r>
        <w:t>ADR-0013: Derive receive timing and sample count from waveform duration and instrumented range.</w:t>
      </w:r>
    </w:p>
    <w:p>
      <w:r>
        <w:br w:type="page"/>
      </w:r>
    </w:p>
    <w:p>
      <w:pPr>
        <w:pStyle w:val="ListBullet"/>
      </w:pPr>
      <w:r>
        <w:t>ADR-0014: Use bounded finite per-PRI TX/RX command pipelines.</w:t>
      </w:r>
    </w:p>
    <w:p>
      <w:pPr>
        <w:pStyle w:val="ListBullet"/>
      </w:pPr>
      <w:r>
        <w:t>ADR-0015: Keep CPI processing outside the timing-critical acquisition loop.</w:t>
      </w:r>
    </w:p>
    <w:p>
      <w:pPr>
        <w:pStyle w:val="ListBullet"/>
      </w:pPr>
      <w:r>
        <w:t>ADR-0016: MissionController creates tasks; RadarScheduler owns their queue and arbitration.</w:t>
      </w:r>
    </w:p>
    <w:p>
      <w:pPr>
        <w:pStyle w:val="ListBullet"/>
      </w:pPr>
      <w:r>
        <w:t>ADR-0017: Treat RadarExecutor as the current dwell-management boundary.</w:t>
      </w:r>
    </w:p>
    <w:p>
      <w:pPr>
        <w:pStyle w:val="ListBullet"/>
      </w:pPr>
      <w:r>
        <w:t>ADR-0018: Preserve interrupted coverage and a minimum surveillance duty cycle.</w:t>
      </w:r>
    </w:p>
    <w:p>
      <w:pPr>
        <w:pStyle w:val="ListBullet"/>
      </w:pPr>
      <w:r>
        <w:t>ADR-0019: Precede the sampled RF waveform with an 8-sample/200 ns zero-valued TX transport pre-roll.</w:t>
      </w:r>
    </w:p>
    <w:p>
      <w:pPr>
        <w:pStyle w:val="ListBullet"/>
      </w:pPr>
      <w:r>
        <w:t>ADR-0020: Use Golay64_20MHz as the operational A/B complementary waveform at 4 kHz and 64 physical pulses.</w:t>
      </w:r>
    </w:p>
    <w:p>
      <w:pPr>
        <w:pStyle w:val="ListBullet"/>
      </w:pPr>
      <w:r>
        <w:t>ADR-0021: Use the X6-60 absolute multi-turn encoder over 1 Mbit/s SocketCAN as the operational azimuth source.</w:t>
      </w:r>
    </w:p>
    <w:p>
      <w:pPr>
        <w:pStyle w:val="ListBullet"/>
      </w:pPr>
      <w:r>
        <w:t>ADR-0022: Treat the X6-60 as unlimited azimuth and adopt its measured current position at startup without forced motion.</w:t>
      </w:r>
    </w:p>
    <w:p>
      <w:pPr>
        <w:pStyle w:val="ListBullet"/>
      </w:pPr>
      <w:r>
        <w:t>ADR-0023: Keep live X6-60 motion opt-in, guarded, allow-listed and owned only by PointingManager.</w:t>
      </w:r>
    </w:p>
    <w:p>
      <w:pPr>
        <w:pStyle w:val="ListBullet"/>
      </w:pPr>
      <w:r>
        <w:t>ADR-0024: Use a North-up PPI with 0 degrees at the top and bearings increasing clockwise.</w:t>
      </w:r>
    </w:p>
    <w:p>
      <w:pPr>
        <w:pStyle w:val="Heading1"/>
      </w:pPr>
      <w:r>
        <w:t>Table of Contents</w:t>
      </w:r>
    </w:p>
    <w:p>
      <w:r>
        <w:t>1. Introduction</w:t>
      </w:r>
    </w:p>
    <w:p>
      <w:r>
        <w:t>2. Operational Concept</w:t>
      </w:r>
    </w:p>
    <w:p>
      <w:r>
        <w:t>3. System Context and Hardware</w:t>
      </w:r>
    </w:p>
    <w:p>
      <w:r>
        <w:t>4. Software Architecture</w:t>
      </w:r>
    </w:p>
    <w:p>
      <w:r>
        <w:t>5. Coordinate Frames</w:t>
      </w:r>
    </w:p>
    <w:p>
      <w:r>
        <w:t>6. Radar Task Model</w:t>
      </w:r>
    </w:p>
    <w:p>
      <w:r>
        <w:t>7. Radar Scheduler</w:t>
      </w:r>
    </w:p>
    <w:p>
      <w:r>
        <w:t>8. Pointing Architecture</w:t>
      </w:r>
    </w:p>
    <w:p>
      <w:r>
        <w:t>9. Execution Architecture</w:t>
      </w:r>
    </w:p>
    <w:p>
      <w:r>
        <w:t>10. Pulse and Waveform Architecture</w:t>
      </w:r>
    </w:p>
    <w:p>
      <w:r>
        <w:t>11. Signal Processing and Tracking</w:t>
      </w:r>
    </w:p>
    <w:p>
      <w:r>
        <w:t>12. Deployment and Hardware Control</w:t>
      </w:r>
    </w:p>
    <w:p>
      <w:r>
        <w:t>13. SDR Execution Architecture</w:t>
      </w:r>
    </w:p>
    <w:p>
      <w:r>
        <w:t>14. Timing Architecture</w:t>
      </w:r>
    </w:p>
    <w:p>
      <w:r>
        <w:t>15. Interfaces and Data Contracts</w:t>
      </w:r>
    </w:p>
    <w:p>
      <w:r>
        <w:t>16. Diagnostics and Fault Handling</w:t>
      </w:r>
    </w:p>
    <w:p>
      <w:r>
        <w:t>17. Verification Strategy</w:t>
      </w:r>
    </w:p>
    <w:p>
      <w:r>
        <w:t>18. Requirements Traceability</w:t>
      </w:r>
    </w:p>
    <w:p>
      <w:r>
        <w:t>19. Development Roadmap</w:t>
      </w:r>
    </w:p>
    <w:p>
      <w:r>
        <w:t>Appendix A. Architecture Decision Records</w:t>
      </w:r>
    </w:p>
    <w:p>
      <w:r>
        <w:t>Appendix B. Acronyms and Glossary</w:t>
      </w:r>
    </w:p>
    <w:p>
      <w:r>
        <w:t>Appendix C. Design Philosophy</w:t>
      </w:r>
    </w:p>
    <w:p>
      <w:r>
        <w:br w:type="page"/>
      </w:r>
    </w:p>
    <w:p>
      <w:pPr>
        <w:pStyle w:val="Heading1"/>
      </w:pPr>
      <w:r>
        <w:t>1. Introduction</w:t>
      </w:r>
    </w:p>
    <w:p>
      <w:pPr>
        <w:pStyle w:val="Heading2"/>
      </w:pPr>
      <w:r>
        <w:t>1.1 Purpose</w:t>
      </w:r>
    </w:p>
    <w:p>
      <w:r>
        <w:t>This specification defines the software and system architecture for Vanguard X, a Python-first X-band radar prototype evolving from simulation into a hardware-executed multifunction radar. It is the authoritative design reference for mission tasking, scheduling, pointing, waveform planning, SDR execution, processing, tracking, diagnostics and hardware control.</w:t>
      </w:r>
    </w:p>
    <w:p>
      <w:pPr>
        <w:pStyle w:val="Heading2"/>
      </w:pPr>
      <w:r>
        <w:t>1.2 Scope</w:t>
      </w:r>
    </w:p>
    <w:p>
      <w:pPr>
        <w:pStyle w:val="ListBullet"/>
      </w:pPr>
      <w:r>
        <w:t>Continuous sector search using measured encoder angle.</w:t>
      </w:r>
    </w:p>
    <w:p>
      <w:pPr>
        <w:pStyle w:val="ListBullet"/>
      </w:pPr>
      <w:r>
        <w:t>Track-while-scan tasking with search interruption and resumption.</w:t>
      </w:r>
    </w:p>
    <w:p>
      <w:pPr>
        <w:pStyle w:val="ListBullet"/>
      </w:pPr>
      <w:r>
        <w:t>Fixed and moving-platform coordinate frames.</w:t>
      </w:r>
    </w:p>
    <w:p>
      <w:pPr>
        <w:pStyle w:val="ListBullet"/>
      </w:pPr>
      <w:r>
        <w:t>Pulse-by-pulse waveform and timing plans.</w:t>
      </w:r>
    </w:p>
    <w:p>
      <w:pPr>
        <w:pStyle w:val="ListBullet"/>
      </w:pPr>
      <w:r>
        <w:t>Simulation and Ettus B200mini hardware sources behind a common interface.</w:t>
      </w:r>
    </w:p>
    <w:p>
      <w:pPr>
        <w:pStyle w:val="ListBullet"/>
      </w:pPr>
      <w:r>
        <w:t>Timed constant-PRI receive execution using SDR hardware timestamps.</w:t>
      </w:r>
    </w:p>
    <w:p>
      <w:pPr>
        <w:pStyle w:val="ListBullet"/>
      </w:pPr>
      <w:r>
        <w:t>Fixed 40 MS/s SDR sampling with waveform-defined chip rates and integer samples per chip.</w:t>
      </w:r>
    </w:p>
    <w:p>
      <w:pPr>
        <w:pStyle w:val="ListBullet"/>
      </w:pPr>
      <w:r>
        <w:t>Operator-selectable uniform PRF and coherent processing interval pulse count.</w:t>
      </w:r>
    </w:p>
    <w:p>
      <w:pPr>
        <w:pStyle w:val="ListBullet"/>
      </w:pPr>
      <w:r>
        <w:t>Guarded timed transmit, ATR gating and Golay complementary operation, with future PRI, frequency and waveform agility.</w:t>
      </w:r>
    </w:p>
    <w:p>
      <w:pPr>
        <w:pStyle w:val="Heading2"/>
      </w:pPr>
      <w:r>
        <w:t>1.3 Baseline statement</w:t>
      </w:r>
    </w:p>
    <w:p>
      <w:r>
        <w:t>Version 0.8 supersedes the earlier Frank/2 kHz operational timing baseline. The configured search and track profile now uses Golay64_20MHz as strict A-then-B pulses at 4 kHz, 64 physical pulses and a 16 ms CPI. The B200mini retains the fixed 40 MS/s clock, 5 ms command lead, depth-20 bounded queue, 8-sample/200 ns transmit pre-roll and 4,043-sample receive window. The operational X6-60 path now uses absolute encoder feedback and guarded SocketCAN motion. No-profile application startup remains fail-closed in receive-only mode; timed transmit and ATR require explicit guarded profiles, and this baseline does not authorise connection of the TRM or 50 W PA.</w:t>
      </w:r>
    </w:p>
    <w:p>
      <w:pPr>
        <w:pStyle w:val="Heading2"/>
      </w:pPr>
      <w:r>
        <w:t>1.4 Design principles</w:t>
      </w:r>
    </w:p>
    <w:p>
      <w:pPr>
        <w:pStyle w:val="ListBullet"/>
      </w:pPr>
      <w:r>
        <w:t>Scheduler decides what the radar does next.</w:t>
      </w:r>
    </w:p>
    <w:p>
      <w:pPr>
        <w:pStyle w:val="ListBullet"/>
      </w:pPr>
      <w:r>
        <w:t>PointingManager decides where the antenna points and is the only motor-command owner.</w:t>
      </w:r>
    </w:p>
    <w:p>
      <w:pPr>
        <w:pStyle w:val="ListBullet"/>
      </w:pPr>
      <w:r>
        <w:t>RadarExecutor translates tasks into executable dwells.</w:t>
      </w:r>
    </w:p>
    <w:p>
      <w:pPr>
        <w:pStyle w:val="ListBullet"/>
      </w:pPr>
      <w:r>
        <w:t>EttusRadarSource owns deterministic SDR command execution.</w:t>
      </w:r>
    </w:p>
    <w:p>
      <w:pPr>
        <w:pStyle w:val="ListBullet"/>
      </w:pPr>
      <w:r>
        <w:t>RadarProcessor processes IQ and never commands hardware.</w:t>
      </w:r>
    </w:p>
    <w:p>
      <w:pPr>
        <w:pStyle w:val="ListBullet"/>
      </w:pPr>
      <w:r>
        <w:t>Tracker requests revisits but does not directly control pointing or waveform timing.</w:t>
      </w:r>
    </w:p>
    <w:p>
      <w:pPr>
        <w:pStyle w:val="ListBullet"/>
      </w:pPr>
      <w:r>
        <w:t>Hardware-specific implementations conform to stable controller and source interfaces.</w:t>
      </w:r>
    </w:p>
    <w:p>
      <w:pPr>
        <w:pStyle w:val="Heading1"/>
      </w:pPr>
      <w:r>
        <w:t>2. Operational Concept</w:t>
      </w:r>
    </w:p>
    <w:p>
      <w:pPr>
        <w:pStyle w:val="Heading2"/>
      </w:pPr>
      <w:r>
        <w:t>2.1 Search</w:t>
      </w:r>
    </w:p>
    <w:p>
      <w:r>
        <w:t>Search is persistent. The antenna slews continuously through a configured sector while measured encoder angle and navigation state are associated with each dwell. Search is not represented as a list of discrete motor positions.</w:t>
      </w:r>
    </w:p>
    <w:p>
      <w:pPr>
        <w:pStyle w:val="Heading2"/>
      </w:pPr>
      <w:r>
        <w:t>2.2 Track</w:t>
      </w:r>
    </w:p>
    <w:p>
      <w:r>
        <w:t>A confirmed track may request a revisit. The scheduler converts the request into a TrackTask, temporarily interrupts search, commands PointingManager to slew to the predicted true bearing, waits for readiness, executes a dedicated track dwell and resumes the saved search state.</w:t>
      </w:r>
    </w:p>
    <w:p>
      <w:pPr>
        <w:pStyle w:val="Heading2"/>
      </w:pPr>
      <w:r>
        <w:t>2.3 Track-while-scan</w:t>
      </w:r>
    </w:p>
    <w:p>
      <w:r>
        <w:t>Track-while-scan is time-sharing of the same pointing, waveform and processing resources. Track tasks pre-empt search based on priority and deadline. Future scheduling cost functions may include slew time, dwell duration, deadline slack, sector coverage debt and track quality.</w:t>
      </w:r>
    </w:p>
    <w:p>
      <w:pPr>
        <w:pStyle w:val="Heading2"/>
      </w:pPr>
      <w:r>
        <w:t>2.4 Future operational modes</w:t>
      </w:r>
    </w:p>
    <w:p>
      <w:pPr>
        <w:pStyle w:val="ListBullet"/>
      </w:pPr>
      <w:r>
        <w:t>Calibration and built-in test.</w:t>
      </w:r>
    </w:p>
    <w:p>
      <w:pPr>
        <w:pStyle w:val="ListBullet"/>
      </w:pPr>
      <w:r>
        <w:t>Passive listen and interference assessment.</w:t>
      </w:r>
    </w:p>
    <w:p>
      <w:pPr>
        <w:pStyle w:val="ListBullet"/>
      </w:pPr>
      <w:r>
        <w:t>Jammer characterisation.</w:t>
      </w:r>
    </w:p>
    <w:p>
      <w:pPr>
        <w:pStyle w:val="ListBullet"/>
      </w:pPr>
      <w:r>
        <w:t>Adaptive waveform, PRI, frequency and attenuation selection.</w:t>
      </w:r>
    </w:p>
    <w:p>
      <w:pPr>
        <w:pStyle w:val="Heading2"/>
      </w:pPr>
      <w:r>
        <w:t>2.5 Mission-driven surveillance</w:t>
      </w:r>
    </w:p>
    <w:p>
      <w:r>
        <w:t>The radar mission is a time allocation policy above individual tasks and dwells. The initial adaptive mission concept begins with rapid 360-degree surveillance, promotes areas of interest to higher-resolution sector search, services confirmed tracks through predicted-position revisits, and performs a small local scan around the prediction when a revisit misses. Mission policy changes task generation and scheduling parameters; it does not directly command the X6-60, SDR or signal processor.</w:t>
      </w:r>
    </w:p>
    <w:p>
      <w:pPr>
        <w:pStyle w:val="Heading2"/>
      </w:pPr>
      <w:r>
        <w:t>2.6 Coverage continuity</w:t>
      </w:r>
    </w:p>
    <w:p>
      <w:r>
        <w:t>Search interruption is reversible. The system records the interrupted sector, direction, scan cycle and encoder position, services the higher-priority work, and resumes coverage without restarting the complete scan. Track demand shall not monopolise the radar: each MissionProfile defines a minimum surveillance duty cycle, maximum time away from search and track-revisit admission policy.</w:t>
      </w:r>
    </w:p>
    <w:p>
      <w:pPr>
        <w:pStyle w:val="Heading1"/>
      </w:pPr>
      <w:r>
        <w:t>3. System Context and Hardware</w:t>
      </w:r>
    </w:p>
    <w:p>
      <w:pPr>
        <w:jc w:val="center"/>
      </w:pPr>
      <w:r>
        <w:drawing>
          <wp:inline xmlns:a="http://schemas.openxmlformats.org/drawingml/2006/main" xmlns:pic="http://schemas.openxmlformats.org/drawingml/2006/picture">
            <wp:extent cx="6675120" cy="3528945"/>
            <wp:docPr id="1" name="Picture 1"/>
            <wp:cNvGraphicFramePr>
              <a:graphicFrameLocks noChangeAspect="1"/>
            </wp:cNvGraphicFramePr>
            <a:graphic>
              <a:graphicData uri="http://schemas.openxmlformats.org/drawingml/2006/picture">
                <pic:pic>
                  <pic:nvPicPr>
                    <pic:cNvPr id="0" name="fig1_system_context.png"/>
                    <pic:cNvPicPr/>
                  </pic:nvPicPr>
                  <pic:blipFill>
                    <a:blip r:embed="rId11"/>
                    <a:stretch>
                      <a:fillRect/>
                    </a:stretch>
                  </pic:blipFill>
                  <pic:spPr>
                    <a:xfrm>
                      <a:off x="0" y="0"/>
                      <a:ext cx="6675120" cy="3528945"/>
                    </a:xfrm>
                    <a:prstGeom prst="rect"/>
                  </pic:spPr>
                </pic:pic>
              </a:graphicData>
            </a:graphic>
          </wp:inline>
        </w:drawing>
      </w:r>
    </w:p>
    <w:p>
      <w:pPr>
        <w:jc w:val="center"/>
      </w:pPr>
      <w:r>
        <w:rPr>
          <w:i/>
          <w:sz w:val="17"/>
        </w:rPr>
        <w:t>Figure 1. Vanguard X system context.</w:t>
      </w:r>
    </w:p>
    <w:p>
      <w:pPr>
        <w:pStyle w:val="Heading2"/>
      </w:pPr>
      <w:r>
        <w:t>3.1 Hardware elements</w:t>
      </w:r>
    </w:p>
    <w:p>
      <w:pPr>
        <w:pStyle w:val="ListBullet"/>
      </w:pPr>
      <w:r>
        <w:t>Linux MiniPC hosting the Vanguard mission-computer application.</w:t>
      </w:r>
    </w:p>
    <w:p>
      <w:pPr>
        <w:pStyle w:val="ListBullet"/>
      </w:pPr>
      <w:r>
        <w:t>Ettus B200mini SDR providing finite hardware-timed receive windows, guarded timed waveform transmission and CRO-verified ATR GPIO.</w:t>
      </w:r>
    </w:p>
    <w:p>
      <w:pPr>
        <w:pStyle w:val="ListBullet"/>
      </w:pPr>
      <w:r>
        <w:t>STM32 Nucleo and level-shifter HAT providing the 28-bit TRM serial configuration interface.</w:t>
      </w:r>
    </w:p>
    <w:p>
      <w:pPr>
        <w:pStyle w:val="ListBullet"/>
      </w:pPr>
      <w:r>
        <w:t>X-band TRM, up/down conversion chain and antenna/radome assembly.</w:t>
      </w:r>
    </w:p>
    <w:p>
      <w:pPr>
        <w:pStyle w:val="ListBullet"/>
      </w:pPr>
      <w:r>
        <w:t>QAN X6-60 unlimited-azimuth motor/positioning unit with absolute multi-turn encoder feedback over SocketCAN.</w:t>
      </w:r>
    </w:p>
    <w:p>
      <w:pPr>
        <w:pStyle w:val="ListBullet"/>
      </w:pPr>
      <w:r>
        <w:t>IMU/GPS/INS or simulated navigation source.</w:t>
      </w:r>
    </w:p>
    <w:p>
      <w:pPr>
        <w:pStyle w:val="Heading2"/>
      </w:pPr>
      <w:r>
        <w:t>3.2 Control ownership</w:t>
      </w:r>
    </w:p>
    <w:p>
      <w:r>
        <w:t>Slow TRM configuration is written before operation or when settings change. Fast pulse-by-pulse transmit/receive switching belongs to Ettus ATR. Pointing commands belong exclusively to PointingManager through the X6-60 controller interface. RadarExecutor consumes measured PointingState and never commands the motor directly. The operational application does not bring SocketCAN up or change its bitrate; can0 must already exist, be UP and report 1 Mbit/s before live X6-60 control is opened.</w:t>
      </w:r>
    </w:p>
    <w:p>
      <w:pPr>
        <w:pStyle w:val="Heading1"/>
      </w:pPr>
      <w:r>
        <w:t>4. Software Architecture</w:t>
      </w:r>
    </w:p>
    <w:p>
      <w:pPr>
        <w:jc w:val="center"/>
      </w:pPr>
      <w:r>
        <w:drawing>
          <wp:inline xmlns:a="http://schemas.openxmlformats.org/drawingml/2006/main" xmlns:pic="http://schemas.openxmlformats.org/drawingml/2006/picture">
            <wp:extent cx="5943600" cy="4220394"/>
            <wp:docPr id="2" name="Picture 2"/>
            <wp:cNvGraphicFramePr>
              <a:graphicFrameLocks noChangeAspect="1"/>
            </wp:cNvGraphicFramePr>
            <a:graphic>
              <a:graphicData uri="http://schemas.openxmlformats.org/drawingml/2006/picture">
                <pic:pic>
                  <pic:nvPicPr>
                    <pic:cNvPr id="0" name="fig2_layers.png"/>
                    <pic:cNvPicPr/>
                  </pic:nvPicPr>
                  <pic:blipFill>
                    <a:blip r:embed="rId12"/>
                    <a:stretch>
                      <a:fillRect/>
                    </a:stretch>
                  </pic:blipFill>
                  <pic:spPr>
                    <a:xfrm>
                      <a:off x="0" y="0"/>
                      <a:ext cx="5943600" cy="4220394"/>
                    </a:xfrm>
                    <a:prstGeom prst="rect"/>
                  </pic:spPr>
                </pic:pic>
              </a:graphicData>
            </a:graphic>
          </wp:inline>
        </w:drawing>
      </w:r>
    </w:p>
    <w:p>
      <w:pPr>
        <w:jc w:val="center"/>
      </w:pPr>
      <w:r>
        <w:rPr>
          <w:i/>
          <w:sz w:val="17"/>
        </w:rPr>
        <w:t>Figure 2. Vanguard X layered software architecture.</w:t>
      </w:r>
    </w:p>
    <w:p>
      <w:pPr>
        <w:pStyle w:val="Heading2"/>
      </w:pPr>
      <w:r>
        <w:t>4.1 Current implemented modules</w:t>
      </w:r>
    </w:p>
    <w:tbl>
      <w:tblPr>
        <w:tblStyle w:val="TableGrid"/>
        <w:tblW w:type="auto" w:w="0"/>
        <w:jc w:val="center"/>
        <w:tblLook w:firstColumn="1" w:firstRow="1" w:lastColumn="0" w:lastRow="0" w:noHBand="0" w:noVBand="1" w:val="04A0"/>
      </w:tblPr>
      <w:tblGrid>
        <w:gridCol w:w="5040"/>
        <w:gridCol w:w="5040"/>
      </w:tblGrid>
      <w:tr>
        <w:trPr>
          <w:tblHeader/>
          <w:cantSplit/>
        </w:trPr>
        <w:tc>
          <w:tcPr>
            <w:tcW w:type="dxa" w:w="5040"/>
            <w:shd w:fill="1F4E79"/>
          </w:tcPr>
          <w:p>
            <w:r>
              <w:rPr>
                <w:b/>
                <w:color w:val="FFFFFF"/>
              </w:rPr>
              <w:t>Module</w:t>
            </w:r>
          </w:p>
        </w:tc>
        <w:tc>
          <w:tcPr>
            <w:tcW w:type="dxa" w:w="5040"/>
            <w:shd w:fill="1F4E79"/>
          </w:tcPr>
          <w:p>
            <w:r>
              <w:rPr>
                <w:b/>
                <w:color w:val="FFFFFF"/>
              </w:rPr>
              <w:t>Primary responsibility</w:t>
            </w:r>
          </w:p>
        </w:tc>
      </w:tr>
      <w:tr>
        <w:trPr>
          <w:cantSplit/>
        </w:trPr>
        <w:tc>
          <w:tcPr>
            <w:tcW w:type="dxa" w:w="5040"/>
          </w:tcPr>
          <w:p>
            <w:r>
              <w:t>RadarTasks.py</w:t>
            </w:r>
          </w:p>
        </w:tc>
        <w:tc>
          <w:tcPr>
            <w:tcW w:type="dxa" w:w="5040"/>
          </w:tcPr>
          <w:p>
            <w:r>
              <w:t>SearchTask, TrackTask, SearchSector, PointingRequest and RevisitRequest.</w:t>
            </w:r>
          </w:p>
        </w:tc>
      </w:tr>
      <w:tr>
        <w:trPr>
          <w:cantSplit/>
        </w:trPr>
        <w:tc>
          <w:tcPr>
            <w:tcW w:type="dxa" w:w="5040"/>
          </w:tcPr>
          <w:p>
            <w:r>
              <w:t>NavigationState.py</w:t>
            </w:r>
          </w:p>
        </w:tc>
        <w:tc>
          <w:tcPr>
            <w:tcW w:type="dxa" w:w="5040"/>
          </w:tcPr>
          <w:p>
            <w:r>
              <w:t>Timestamped platform heading, pitch and roll; simulation and future hardware adapters.</w:t>
            </w:r>
          </w:p>
        </w:tc>
      </w:tr>
      <w:tr>
        <w:trPr>
          <w:cantSplit/>
        </w:trPr>
        <w:tc>
          <w:tcPr>
            <w:tcW w:type="dxa" w:w="5040"/>
          </w:tcPr>
          <w:p>
            <w:r>
              <w:t>PointingManager.py</w:t>
            </w:r>
          </w:p>
        </w:tc>
        <w:tc>
          <w:tcPr>
            <w:tcW w:type="dxa" w:w="5040"/>
          </w:tcPr>
          <w:p>
            <w:r>
              <w:t>Coordinate conversion, continuous search, goto-and-hold tracking and motor ownership.</w:t>
            </w:r>
          </w:p>
        </w:tc>
      </w:tr>
      <w:tr>
        <w:trPr>
          <w:cantSplit/>
        </w:trPr>
        <w:tc>
          <w:tcPr>
            <w:tcW w:type="dxa" w:w="5040"/>
          </w:tcPr>
          <w:p>
            <w:r>
              <w:t>RadarScheduler.py</w:t>
            </w:r>
          </w:p>
        </w:tc>
        <w:tc>
          <w:tcPr>
            <w:tcW w:type="dxa" w:w="5040"/>
          </w:tcPr>
          <w:p>
            <w:r>
              <w:t>Persistent search, track queue, deadlines, task prioritisation and resumption.</w:t>
            </w:r>
          </w:p>
        </w:tc>
      </w:tr>
      <w:tr>
        <w:trPr>
          <w:cantSplit/>
        </w:trPr>
        <w:tc>
          <w:tcPr>
            <w:tcW w:type="dxa" w:w="5040"/>
          </w:tcPr>
          <w:p>
            <w:r>
              <w:t>RadarExecutor.py</w:t>
            </w:r>
          </w:p>
        </w:tc>
        <w:tc>
          <w:tcPr>
            <w:tcW w:type="dxa" w:w="5040"/>
          </w:tcPr>
          <w:p>
            <w:r>
              <w:t>Execution profile selection, DwellPlan construction, source execution and metadata.</w:t>
            </w:r>
          </w:p>
        </w:tc>
      </w:tr>
      <w:tr>
        <w:trPr>
          <w:cantSplit/>
        </w:trPr>
        <w:tc>
          <w:tcPr>
            <w:tcW w:type="dxa" w:w="5040"/>
          </w:tcPr>
          <w:p>
            <w:r>
              <w:t>EttusRadarSource.py</w:t>
            </w:r>
          </w:p>
        </w:tc>
        <w:tc>
          <w:tcPr>
            <w:tcW w:type="dxa" w:w="5040"/>
          </w:tcPr>
          <w:p>
            <w:r>
              <w:t>Bounded finite per-PRI timed SDR execution, TX/RX streamer ownership, receive-path warm-up and hardware diagnostics.</w:t>
            </w:r>
          </w:p>
        </w:tc>
      </w:tr>
      <w:tr>
        <w:trPr>
          <w:cantSplit/>
        </w:trPr>
        <w:tc>
          <w:tcPr>
            <w:tcW w:type="dxa" w:w="5040"/>
          </w:tcPr>
          <w:p>
            <w:r>
              <w:t>SimulatedSource.py</w:t>
            </w:r>
          </w:p>
        </w:tc>
        <w:tc>
          <w:tcPr>
            <w:tcW w:type="dxa" w:w="5040"/>
          </w:tcPr>
          <w:p>
            <w:r>
              <w:t>Architecture-compatible synthetic IQ source.</w:t>
            </w:r>
          </w:p>
        </w:tc>
      </w:tr>
      <w:tr>
        <w:trPr>
          <w:cantSplit/>
        </w:trPr>
        <w:tc>
          <w:tcPr>
            <w:tcW w:type="dxa" w:w="5040"/>
          </w:tcPr>
          <w:p>
            <w:r>
              <w:t>RadarProcessor.py</w:t>
            </w:r>
          </w:p>
        </w:tc>
        <w:tc>
          <w:tcPr>
            <w:tcW w:type="dxa" w:w="5040"/>
          </w:tcPr>
          <w:p>
            <w:r>
              <w:t>Pulse compression, Doppler processing and processed-dwell production.</w:t>
            </w:r>
          </w:p>
        </w:tc>
      </w:tr>
      <w:tr>
        <w:trPr>
          <w:cantSplit/>
        </w:trPr>
        <w:tc>
          <w:tcPr>
            <w:tcW w:type="dxa" w:w="5040"/>
          </w:tcPr>
          <w:p>
            <w:r>
              <w:t>CfarDetector.py</w:t>
            </w:r>
          </w:p>
        </w:tc>
        <w:tc>
          <w:tcPr>
            <w:tcW w:type="dxa" w:w="5040"/>
          </w:tcPr>
          <w:p>
            <w:r>
              <w:t>Detection thresholding and peak extraction.</w:t>
            </w:r>
          </w:p>
        </w:tc>
      </w:tr>
      <w:tr>
        <w:trPr>
          <w:cantSplit/>
        </w:trPr>
        <w:tc>
          <w:tcPr>
            <w:tcW w:type="dxa" w:w="5040"/>
          </w:tcPr>
          <w:p>
            <w:r>
              <w:t>RadarTracker.py</w:t>
            </w:r>
          </w:p>
        </w:tc>
        <w:tc>
          <w:tcPr>
            <w:tcW w:type="dxa" w:w="5040"/>
          </w:tcPr>
          <w:p>
            <w:r>
              <w:t>Blob formation, track initiation, maintenance and revisit requests.</w:t>
            </w:r>
          </w:p>
        </w:tc>
      </w:tr>
      <w:tr>
        <w:trPr>
          <w:cantSplit/>
        </w:trPr>
        <w:tc>
          <w:tcPr>
            <w:tcW w:type="dxa" w:w="5040"/>
          </w:tcPr>
          <w:p>
            <w:r>
              <w:t>RadarDisplayQt5.py</w:t>
            </w:r>
          </w:p>
        </w:tc>
        <w:tc>
          <w:tcPr>
            <w:tcW w:type="dxa" w:w="5040"/>
          </w:tcPr>
          <w:p>
            <w:r>
              <w:t>North-up clockwise-positive PPI, operator controls and status display.</w:t>
            </w:r>
          </w:p>
        </w:tc>
      </w:tr>
      <w:tr>
        <w:trPr>
          <w:cantSplit/>
        </w:trPr>
        <w:tc>
          <w:tcPr>
            <w:tcW w:type="dxa" w:w="5040"/>
          </w:tcPr>
          <w:p>
            <w:r>
              <w:t>DataLogger.py</w:t>
            </w:r>
          </w:p>
        </w:tc>
        <w:tc>
          <w:tcPr>
            <w:tcW w:type="dxa" w:w="5040"/>
          </w:tcPr>
          <w:p>
            <w:r>
              <w:t>Configuration-controlled data and diagnostic logging.</w:t>
            </w:r>
          </w:p>
        </w:tc>
      </w:tr>
      <w:tr>
        <w:trPr>
          <w:cantSplit/>
        </w:trPr>
        <w:tc>
          <w:tcPr>
            <w:tcW w:type="dxa" w:w="5040"/>
          </w:tcPr>
          <w:p>
            <w:r>
              <w:t>X660ReadOnlyController.py</w:t>
            </w:r>
          </w:p>
        </w:tc>
        <w:tc>
          <w:tcPr>
            <w:tcW w:type="dxa" w:w="5040"/>
          </w:tcPr>
          <w:p>
            <w:r>
              <w:t>Validated SocketCAN telemetry, absolute multi-turn angle and calibrated North-relative azimuth.</w:t>
            </w:r>
          </w:p>
        </w:tc>
      </w:tr>
      <w:tr>
        <w:trPr>
          <w:cantSplit/>
        </w:trPr>
        <w:tc>
          <w:tcPr>
            <w:tcW w:type="dxa" w:w="5040"/>
          </w:tcPr>
          <w:p>
            <w:r>
              <w:t>X660OperationalController.py</w:t>
            </w:r>
          </w:p>
        </w:tc>
        <w:tc>
          <w:tcPr>
            <w:tcW w:type="dxa" w:w="5040"/>
          </w:tcPr>
          <w:p>
            <w:r>
              <w:t>Operational slew, absolute-position, nudge and stop commands with encoder-based state.</w:t>
            </w:r>
          </w:p>
        </w:tc>
      </w:tr>
      <w:tr>
        <w:trPr>
          <w:cantSplit/>
        </w:trPr>
        <w:tc>
          <w:tcPr>
            <w:tcW w:type="dxa" w:w="5040"/>
          </w:tcPr>
          <w:p>
            <w:r>
              <w:t>X660GuardedMotionTransport.py</w:t>
            </w:r>
          </w:p>
        </w:tc>
        <w:tc>
          <w:tcPr>
            <w:tcW w:type="dxa" w:w="5040"/>
          </w:tcPr>
          <w:p>
            <w:r>
              <w:t>Dry-run-first, allow-listed and acknowledgement-gated CAN motion transport.</w:t>
            </w:r>
          </w:p>
        </w:tc>
      </w:tr>
    </w:tbl>
    <w:p>
      <w:pPr>
        <w:pStyle w:val="Heading2"/>
      </w:pPr>
      <w:r>
        <w:t>4.2 Dependency rule</w:t>
      </w:r>
    </w:p>
    <w:p>
      <w:r>
        <w:t>Dependencies flow downwards through stable interfaces. Lower layers shall not make mission decisions. Hardware drivers shall not call the scheduler, detector or tracker. Presentation shall not own operational state.</w:t>
      </w:r>
    </w:p>
    <w:p>
      <w:pPr>
        <w:pStyle w:val="Heading1"/>
      </w:pPr>
      <w:r>
        <w:t>5. Coordinate Frames</w:t>
      </w:r>
    </w:p>
    <w:p>
      <w:pPr>
        <w:jc w:val="center"/>
      </w:pPr>
      <w:r>
        <w:drawing>
          <wp:inline xmlns:a="http://schemas.openxmlformats.org/drawingml/2006/main" xmlns:pic="http://schemas.openxmlformats.org/drawingml/2006/picture">
            <wp:extent cx="6126480" cy="4004039"/>
            <wp:docPr id="3" name="Picture 3"/>
            <wp:cNvGraphicFramePr>
              <a:graphicFrameLocks noChangeAspect="1"/>
            </wp:cNvGraphicFramePr>
            <a:graphic>
              <a:graphicData uri="http://schemas.openxmlformats.org/drawingml/2006/picture">
                <pic:pic>
                  <pic:nvPicPr>
                    <pic:cNvPr id="0" name="fig4_coordinates.png"/>
                    <pic:cNvPicPr/>
                  </pic:nvPicPr>
                  <pic:blipFill>
                    <a:blip r:embed="rId13"/>
                    <a:stretch>
                      <a:fillRect/>
                    </a:stretch>
                  </pic:blipFill>
                  <pic:spPr>
                    <a:xfrm>
                      <a:off x="0" y="0"/>
                      <a:ext cx="6126480" cy="4004039"/>
                    </a:xfrm>
                    <a:prstGeom prst="rect"/>
                  </pic:spPr>
                </pic:pic>
              </a:graphicData>
            </a:graphic>
          </wp:inline>
        </w:drawing>
      </w:r>
    </w:p>
    <w:p>
      <w:pPr>
        <w:jc w:val="center"/>
      </w:pPr>
      <w:r>
        <w:rPr>
          <w:i/>
          <w:sz w:val="17"/>
        </w:rPr>
        <w:t>Figure 3. Relationship between true North, platform heading and antenna-relative azimuth.</w:t>
      </w:r>
    </w:p>
    <w:p>
      <w:pPr>
        <w:pStyle w:val="Heading2"/>
      </w:pPr>
      <w:r>
        <w:t>5.1 Frames</w:t>
      </w:r>
    </w:p>
    <w:p>
      <w:pPr>
        <w:pStyle w:val="ListBullet"/>
      </w:pPr>
      <w:r>
        <w:t>TRUE frame: bearings referenced to true North.</w:t>
      </w:r>
    </w:p>
    <w:p>
      <w:pPr>
        <w:pStyle w:val="ListBullet"/>
      </w:pPr>
      <w:r>
        <w:t>PLATFORM frame: angles referenced to the platform body or bow.</w:t>
      </w:r>
    </w:p>
    <w:p>
      <w:pPr>
        <w:pStyle w:val="ListBullet"/>
      </w:pPr>
      <w:r>
        <w:t>X6-60/antenna frame: clockwise-positive azimuth from calibrated North and absolute multi-turn raw encoder angle.</w:t>
      </w:r>
    </w:p>
    <w:p>
      <w:pPr>
        <w:pStyle w:val="ListBullet"/>
      </w:pPr>
      <w:r>
        <w:t>BEAM frame: instantaneous illuminated line of sight.</w:t>
      </w:r>
    </w:p>
    <w:p>
      <w:pPr>
        <w:pStyle w:val="Heading2"/>
      </w:pPr>
      <w:r>
        <w:t>5.2 Azimuth conversion</w:t>
      </w:r>
    </w:p>
    <w:p>
      <w:r>
        <w:t>For the initial azimuth-only implementation, true beam bearing equals platform true heading plus X6-60 relative azimuth, wrapped into 0-360 degrees. The inverse transformation subtracts platform heading from the requested true bearing. Public azimuth is North=0 degrees and increases clockwise. Full roll, pitch and tilt compensation will use a future three-dimensional rotation model.</w:t>
      </w:r>
    </w:p>
    <w:p>
      <w:pPr>
        <w:pStyle w:val="Heading2"/>
      </w:pPr>
      <w:r>
        <w:t>5.3 Sector policies</w:t>
      </w:r>
    </w:p>
    <w:p>
      <w:pPr>
        <w:pStyle w:val="ListBullet"/>
      </w:pPr>
      <w:r>
        <w:t>PLATFORM-fixed sectors remain fixed relative to the body and rotate in true coordinates as the platform turns.</w:t>
      </w:r>
    </w:p>
    <w:p>
      <w:pPr>
        <w:pStyle w:val="ListBullet"/>
      </w:pPr>
      <w:r>
        <w:t>TRUE-fixed sectors remain geographically fixed and are continuously transformed into platform-relative motor coordinates.</w:t>
      </w:r>
    </w:p>
    <w:p>
      <w:pPr>
        <w:pStyle w:val="Heading2"/>
      </w:pPr>
      <w:r>
        <w:t>5.4 North-up PPI convention</w:t>
      </w:r>
    </w:p>
    <w:p>
      <w:pPr/>
      <w:r>
        <w:t>RadarDisplayQt5 uses the conventional radar mapping x = range x sin(bearing) and y = range x cos(bearing). Therefore 0 degrees/North is at the top, 90 degrees/East at the right, 180 degrees/South at the bottom and 270 degrees/West at the left. Bearings increase clockwise. Beam lines, sector boundaries, detections, plots, tracks, labels and mouse selection shall all use this single conversion.</w:t>
      </w:r>
    </w:p>
    <w:p>
      <w:pPr>
        <w:pStyle w:val="Heading1"/>
      </w:pPr>
      <w:r>
        <w:t>6. Radar Task Model</w:t>
      </w:r>
    </w:p>
    <w:p>
      <w:pPr>
        <w:pStyle w:val="Heading2"/>
      </w:pPr>
      <w:r>
        <w:t>6.1 RadarTask</w:t>
      </w:r>
    </w:p>
    <w:p>
      <w:r>
        <w:t>RadarTask is the scheduler-domain representation of a radar action. It includes identity, task type, priority, pointing request, waveform profile, earliest start, deadline, status and metadata.</w:t>
      </w:r>
    </w:p>
    <w:p>
      <w:pPr>
        <w:pStyle w:val="Heading2"/>
      </w:pPr>
      <w:r>
        <w:t>6.2 SearchTask</w:t>
      </w:r>
    </w:p>
    <w:p>
      <w:r>
        <w:t>SearchTask owns a SearchSector and is persistent. Completion of one search dwell returns control to the scheduler without terminating the search mission.</w:t>
      </w:r>
    </w:p>
    <w:p>
      <w:pPr>
        <w:pStyle w:val="Heading2"/>
      </w:pPr>
      <w:r>
        <w:t>6.3 TrackTask and RevisitRequest</w:t>
      </w:r>
    </w:p>
    <w:p>
      <w:r>
        <w:t>Tracker emits RevisitRequest objects containing predicted range, true bearing, priority and deadline. RadarScheduler converts each request into a one-shot TrackTask. Duplicate queued requests for the same track update the existing task instead of causing uncontrolled queue growth.</w:t>
      </w:r>
    </w:p>
    <w:p>
      <w:pPr>
        <w:pStyle w:val="Heading2"/>
      </w:pPr>
      <w:r>
        <w:t>6.4 Task invariants</w:t>
      </w:r>
    </w:p>
    <w:p>
      <w:pPr>
        <w:pStyle w:val="ListBullet"/>
      </w:pPr>
      <w:r>
        <w:t>Tasks express intent, not hardware commands.</w:t>
      </w:r>
    </w:p>
    <w:p>
      <w:pPr>
        <w:pStyle w:val="ListBullet"/>
      </w:pPr>
      <w:r>
        <w:t>Pointing requests use explicit coordinate frames.</w:t>
      </w:r>
    </w:p>
    <w:p>
      <w:pPr>
        <w:pStyle w:val="ListBullet"/>
      </w:pPr>
      <w:r>
        <w:t>Waveform profiles select reusable waveform and processing recipes.</w:t>
      </w:r>
    </w:p>
    <w:p>
      <w:pPr>
        <w:pStyle w:val="ListBullet"/>
      </w:pPr>
      <w:r>
        <w:t>A task may be selected only when its earliest-start constraint is satisfied.</w:t>
      </w:r>
    </w:p>
    <w:p>
      <w:pPr>
        <w:pStyle w:val="Heading1"/>
      </w:pPr>
      <w:r>
        <w:t>7. Radar Scheduler</w:t>
      </w:r>
    </w:p>
    <w:p>
      <w:pPr>
        <w:pStyle w:val="Heading2"/>
      </w:pPr>
      <w:r>
        <w:t>7.1 Scheduling policy</w:t>
      </w:r>
    </w:p>
    <w:p>
      <w:pPr>
        <w:pStyle w:val="ListBullet"/>
      </w:pPr>
      <w:r>
        <w:t>An active task retains ownership until completed, failed or explicitly pre-empted.</w:t>
      </w:r>
    </w:p>
    <w:p>
      <w:pPr>
        <w:pStyle w:val="ListBullet"/>
      </w:pPr>
      <w:r>
        <w:t>Ready track tasks outrank persistent search.</w:t>
      </w:r>
    </w:p>
    <w:p>
      <w:pPr>
        <w:pStyle w:val="ListBullet"/>
      </w:pPr>
      <w:r>
        <w:t>Track selection uses base priority plus deadline urgency.</w:t>
      </w:r>
    </w:p>
    <w:p>
      <w:pPr>
        <w:pStyle w:val="ListBullet"/>
      </w:pPr>
      <w:r>
        <w:t>Overdue track tasks receive a large urgency boost.</w:t>
      </w:r>
    </w:p>
    <w:p>
      <w:pPr>
        <w:pStyle w:val="ListBullet"/>
      </w:pPr>
      <w:r>
        <w:t>When no track task is ready, persistent search is selected or resumed.</w:t>
      </w:r>
    </w:p>
    <w:p>
      <w:pPr>
        <w:pStyle w:val="Heading2"/>
      </w:pPr>
      <w:r>
        <w:t>7.2 Search interruption and resumption</w:t>
      </w:r>
    </w:p>
    <w:p>
      <w:r>
        <w:t>The active endpoint, direction, scan cycle and interrupted encoder angle are preserved when search is interrupted. After track completion, PointingManager resumes the same SearchTask and restores the valid search state.</w:t>
      </w:r>
    </w:p>
    <w:p>
      <w:pPr>
        <w:pStyle w:val="Heading2"/>
      </w:pPr>
      <w:r>
        <w:t>7.3 Future cost model</w:t>
      </w:r>
    </w:p>
    <w:p>
      <w:pPr>
        <w:pStyle w:val="ListBullet"/>
      </w:pPr>
      <w:r>
        <w:t>Estimated slew and settling time.</w:t>
      </w:r>
    </w:p>
    <w:p>
      <w:pPr>
        <w:pStyle w:val="ListBullet"/>
      </w:pPr>
      <w:r>
        <w:t>Dwell duration and processing load.</w:t>
      </w:r>
    </w:p>
    <w:p>
      <w:pPr>
        <w:pStyle w:val="ListBullet"/>
      </w:pPr>
      <w:r>
        <w:t>Track quality, manoeuvre and threat priority.</w:t>
      </w:r>
    </w:p>
    <w:p>
      <w:pPr>
        <w:pStyle w:val="ListBullet"/>
      </w:pPr>
      <w:r>
        <w:t>Sector coverage debt and unsearched gaps.</w:t>
      </w:r>
    </w:p>
    <w:p>
      <w:pPr>
        <w:pStyle w:val="ListBullet"/>
      </w:pPr>
      <w:r>
        <w:t>Calibration, passive-listen and interference-analysis obligations.</w:t>
      </w:r>
    </w:p>
    <w:p>
      <w:pPr>
        <w:pStyle w:val="Heading2"/>
      </w:pPr>
      <w:r>
        <w:t>7.4 Scheduler task lifecycle</w:t>
      </w:r>
    </w:p>
    <w:p>
      <w:r>
        <w:t>RadarScheduler implements a deterministic, non-hardware task lifecycle:</w:t>
      </w:r>
    </w:p>
    <w:p>
      <w:pPr>
        <w:pStyle w:val="ListBullet"/>
      </w:pPr>
      <w:r>
        <w:t>Accept or update tracker RevisitRequest objects; at most one queued TrackTask is retained per TrackId.</w:t>
      </w:r>
    </w:p>
    <w:p>
      <w:pPr>
        <w:pStyle w:val="ListBullet"/>
      </w:pPr>
      <w:r>
        <w:t>Continue the active task until the main loop reports completion or failure.</w:t>
      </w:r>
    </w:p>
    <w:p>
      <w:pPr>
        <w:pStyle w:val="ListBullet"/>
      </w:pPr>
      <w:r>
        <w:t>When idle, select the ready TrackTask with the highest base-priority and deadline-urgency score.</w:t>
      </w:r>
    </w:p>
    <w:p>
      <w:pPr>
        <w:pStyle w:val="ListBullet"/>
      </w:pPr>
      <w:r>
        <w:t>If no track task is ready, select or resume the persistent SearchTask.</w:t>
      </w:r>
    </w:p>
    <w:p>
      <w:pPr>
        <w:pStyle w:val="ListBullet"/>
      </w:pPr>
      <w:r>
        <w:t>Pause search during track ownership, then release the one-shot TrackTask and resume the saved SearchTask.</w:t>
      </w:r>
    </w:p>
    <w:p>
      <w:pPr>
        <w:pStyle w:val="Heading2"/>
      </w:pPr>
      <w:r>
        <w:t>7.5 MissionController task-submission boundary</w:t>
      </w:r>
    </w:p>
    <w:p>
      <w:r>
        <w:t>MissionController is the planned mission-decision owner above RadarScheduler. It consumes the active MissionProfile, operator direction and tracker events, then creates concrete RadarTask objects for the scheduler. Its command interface is task-oriented: submit, update and cancel. MissionController does not command PointingManager, RadarExecutor, RadarSource or RadarProcessor directly.</w:t>
      </w:r>
    </w:p>
    <w:p>
      <w:pPr>
        <w:pStyle w:val="ListBullet"/>
      </w:pPr>
      <w:r>
        <w:t>MissionController creates persistent SurveillanceTask and SectorSearchTask work and one-shot TrackRevisitTask and ReacquisitionTask work.</w:t>
      </w:r>
    </w:p>
    <w:p>
      <w:pPr>
        <w:pStyle w:val="ListBullet"/>
      </w:pPr>
      <w:r>
        <w:t>Tracker emits track events or RevisitRequest data to MissionController; after migration it does not insert tasks directly into RadarScheduler.</w:t>
      </w:r>
    </w:p>
    <w:p>
      <w:pPr>
        <w:pStyle w:val="ListBullet"/>
      </w:pPr>
      <w:r>
        <w:t>RadarScheduler owns queued, active, paused, completed, failed and cancelled task state and reports task status/results to MissionController.</w:t>
      </w:r>
    </w:p>
    <w:p>
      <w:pPr>
        <w:pStyle w:val="ListBullet"/>
      </w:pPr>
      <w:r>
        <w:t>The scheduler queue is eligibility- and urgency-based, not simple FIFO: earliest-start gates admission, then task class, priority and deadline urgency determine selection.</w:t>
      </w:r>
    </w:p>
    <w:p>
      <w:pPr>
        <w:pStyle w:val="ListBullet"/>
      </w:pPr>
      <w:r>
        <w:t>An active task retains ownership to its defined completion or pre-emption point; interrupted persistent surveillance state is retained for exact resumption.</w:t>
      </w:r>
    </w:p>
    <w:p>
      <w:pPr>
        <w:pStyle w:val="ListBullet"/>
      </w:pPr>
      <w:r>
        <w:t>MissionController decides mission-mode transitions; RadarScheduler arbitrates only the concrete tasks that have been submitted.</w:t>
      </w:r>
    </w:p>
    <w:tbl>
      <w:tblPr>
        <w:tblStyle w:val="TableGrid"/>
        <w:tblW w:type="auto" w:w="0"/>
        <w:tblLook w:firstColumn="1" w:firstRow="1" w:lastColumn="0" w:lastRow="0" w:noHBand="0" w:noVBand="1" w:val="04A0"/>
      </w:tblPr>
      <w:tblGrid>
        <w:gridCol w:w="2016"/>
        <w:gridCol w:w="2016"/>
        <w:gridCol w:w="2016"/>
        <w:gridCol w:w="2016"/>
        <w:gridCol w:w="2016"/>
      </w:tblGrid>
      <w:tr>
        <w:trPr>
          <w:cantSplit/>
        </w:trPr>
        <w:tc>
          <w:tcPr>
            <w:tcW w:type="dxa" w:w="2016"/>
          </w:tcPr>
          <w:p>
            <w:r>
              <w:t>Mission mode</w:t>
            </w:r>
          </w:p>
        </w:tc>
        <w:tc>
          <w:tcPr>
            <w:tcW w:type="dxa" w:w="2016"/>
          </w:tcPr>
          <w:p>
            <w:r>
              <w:t>Purpose</w:t>
            </w:r>
          </w:p>
        </w:tc>
        <w:tc>
          <w:tcPr>
            <w:tcW w:type="dxa" w:w="2016"/>
          </w:tcPr>
          <w:p>
            <w:r>
              <w:t>Search geometry</w:t>
            </w:r>
          </w:p>
        </w:tc>
        <w:tc>
          <w:tcPr>
            <w:tcW w:type="dxa" w:w="2016"/>
          </w:tcPr>
          <w:p>
            <w:r>
              <w:t>Typical dwell policy</w:t>
            </w:r>
          </w:p>
        </w:tc>
        <w:tc>
          <w:tcPr>
            <w:tcW w:type="dxa" w:w="2016"/>
          </w:tcPr>
          <w:p>
            <w:r>
              <w:t>Exit/transition</w:t>
            </w:r>
          </w:p>
        </w:tc>
      </w:tr>
      <w:tr>
        <w:trPr>
          <w:cantSplit/>
        </w:trPr>
        <w:tc>
          <w:tcPr>
            <w:tcW w:type="dxa" w:w="2016"/>
          </w:tcPr>
          <w:p>
            <w:r>
              <w:t>Rapid surveillance</w:t>
            </w:r>
          </w:p>
        </w:tc>
        <w:tc>
          <w:tcPr>
            <w:tcW w:type="dxa" w:w="2016"/>
          </w:tcPr>
          <w:p>
            <w:r>
              <w:t>Establish and maintain broad awareness</w:t>
            </w:r>
          </w:p>
        </w:tc>
        <w:tc>
          <w:tcPr>
            <w:tcW w:type="dxa" w:w="2016"/>
          </w:tcPr>
          <w:p>
            <w:r>
              <w:t>Continuous 360° coverage; coarse angular sampling</w:t>
            </w:r>
          </w:p>
        </w:tc>
        <w:tc>
          <w:tcPr>
            <w:tcW w:type="dxa" w:w="2016"/>
          </w:tcPr>
          <w:p>
            <w:r>
              <w:t>Short CPI; search waveform; high coverage rate</w:t>
            </w:r>
          </w:p>
        </w:tc>
        <w:tc>
          <w:tcPr>
            <w:tcW w:type="dxa" w:w="2016"/>
          </w:tcPr>
          <w:p>
            <w:r>
              <w:t>Area of interest, due revisit or operator sector request</w:t>
            </w:r>
          </w:p>
        </w:tc>
      </w:tr>
      <w:tr>
        <w:trPr>
          <w:cantSplit/>
        </w:trPr>
        <w:tc>
          <w:tcPr>
            <w:tcW w:type="dxa" w:w="2016"/>
          </w:tcPr>
          <w:p>
            <w:r>
              <w:t>Sector search</w:t>
            </w:r>
          </w:p>
        </w:tc>
        <w:tc>
          <w:tcPr>
            <w:tcW w:type="dxa" w:w="2016"/>
          </w:tcPr>
          <w:p>
            <w:r>
              <w:t>Resolve an area of interest</w:t>
            </w:r>
          </w:p>
        </w:tc>
        <w:tc>
          <w:tcPr>
            <w:tcW w:type="dxa" w:w="2016"/>
          </w:tcPr>
          <w:p>
            <w:r>
              <w:t>Bounded sector; smaller angular step or slower scan</w:t>
            </w:r>
          </w:p>
        </w:tc>
        <w:tc>
          <w:tcPr>
            <w:tcW w:type="dxa" w:w="2016"/>
          </w:tcPr>
          <w:p>
            <w:r>
              <w:t>Higher sensitivity/resolution profile within timing limits</w:t>
            </w:r>
          </w:p>
        </w:tc>
        <w:tc>
          <w:tcPr>
            <w:tcW w:type="dxa" w:w="2016"/>
          </w:tcPr>
          <w:p>
            <w:r>
              <w:t>Sector complete, track confirmation or coverage limit</w:t>
            </w:r>
          </w:p>
        </w:tc>
      </w:tr>
      <w:tr>
        <w:trPr>
          <w:cantSplit/>
        </w:trPr>
        <w:tc>
          <w:tcPr>
            <w:tcW w:type="dxa" w:w="2016"/>
          </w:tcPr>
          <w:p>
            <w:r>
              <w:t>Track revisit</w:t>
            </w:r>
          </w:p>
        </w:tc>
        <w:tc>
          <w:tcPr>
            <w:tcW w:type="dxa" w:w="2016"/>
          </w:tcPr>
          <w:p>
            <w:r>
              <w:t>Update a confirmed track</w:t>
            </w:r>
          </w:p>
        </w:tc>
        <w:tc>
          <w:tcPr>
            <w:tcW w:type="dxa" w:w="2016"/>
          </w:tcPr>
          <w:p>
            <w:r>
              <w:t>Goto predicted true bearing and hold</w:t>
            </w:r>
          </w:p>
        </w:tc>
        <w:tc>
          <w:tcPr>
            <w:tcW w:type="dxa" w:w="2016"/>
          </w:tcPr>
          <w:p>
            <w:r>
              <w:t>Dedicated track profile; deadline-driven</w:t>
            </w:r>
          </w:p>
        </w:tc>
        <w:tc>
          <w:tcPr>
            <w:tcW w:type="dxa" w:w="2016"/>
          </w:tcPr>
          <w:p>
            <w:r>
              <w:t>Successful update or missed revisit</w:t>
            </w:r>
          </w:p>
        </w:tc>
      </w:tr>
      <w:tr>
        <w:trPr>
          <w:cantSplit/>
        </w:trPr>
        <w:tc>
          <w:tcPr>
            <w:tcW w:type="dxa" w:w="2016"/>
          </w:tcPr>
          <w:p>
            <w:r>
              <w:t>Local reacquisition</w:t>
            </w:r>
          </w:p>
        </w:tc>
        <w:tc>
          <w:tcPr>
            <w:tcW w:type="dxa" w:w="2016"/>
          </w:tcPr>
          <w:p>
            <w:r>
              <w:t>Recover/refine a missed track</w:t>
            </w:r>
          </w:p>
        </w:tc>
        <w:tc>
          <w:tcPr>
            <w:tcW w:type="dxa" w:w="2016"/>
          </w:tcPr>
          <w:p>
            <w:r>
              <w:t>Small scan about predicted bearing, typically configurable ±2–5°</w:t>
            </w:r>
          </w:p>
        </w:tc>
        <w:tc>
          <w:tcPr>
            <w:tcW w:type="dxa" w:w="2016"/>
          </w:tcPr>
          <w:p>
            <w:r>
              <w:t>Limited number of fine-angle dwells</w:t>
            </w:r>
          </w:p>
        </w:tc>
        <w:tc>
          <w:tcPr>
            <w:tcW w:type="dxa" w:w="2016"/>
          </w:tcPr>
          <w:p>
            <w:r>
              <w:t>Target recovered, retry limit reached or track dropped</w:t>
            </w:r>
          </w:p>
        </w:tc>
      </w:tr>
    </w:tbl>
    <w:p>
      <w:pPr>
        <w:pStyle w:val="Heading2"/>
      </w:pPr>
      <w:r>
        <w:t>7.6 Mission transition and resource rules</w:t>
      </w:r>
    </w:p>
    <w:p>
      <w:pPr>
        <w:pStyle w:val="ListBullet"/>
      </w:pPr>
      <w:r>
        <w:t>Begin in rapid surveillance unless the operator loads a sector-limited mission.</w:t>
      </w:r>
    </w:p>
    <w:p>
      <w:pPr>
        <w:pStyle w:val="ListBullet"/>
      </w:pPr>
      <w:r>
        <w:t>Create sector-search work from operator direction or persistent detections; do not alter waveform timing inside the scheduler.</w:t>
      </w:r>
    </w:p>
    <w:p>
      <w:pPr>
        <w:pStyle w:val="ListBullet"/>
      </w:pPr>
      <w:r>
        <w:t>Convert confirmed-track predictions into tracker events or RevisitRequest data; MissionController converts these into deadline-bearing TrackRevisitTask objects.</w:t>
      </w:r>
    </w:p>
    <w:p>
      <w:pPr>
        <w:pStyle w:val="ListBullet"/>
      </w:pPr>
      <w:r>
        <w:t>On a missed revisit, generate a bounded local reacquisition scan around the predicted bearing rather than an unbounded search.</w:t>
      </w:r>
    </w:p>
    <w:p>
      <w:pPr>
        <w:pStyle w:val="ListBullet"/>
      </w:pPr>
      <w:r>
        <w:t>On successful reacquisition, return to track revisits; on retry exhaustion, demote or drop the track according to tracker policy.</w:t>
      </w:r>
    </w:p>
    <w:p>
      <w:pPr>
        <w:pStyle w:val="ListBullet"/>
      </w:pPr>
      <w:r>
        <w:t>After higher-priority work, resume the interrupted coverage state and enforce MissionProfile surveillance-duty limits.</w:t>
      </w:r>
    </w:p>
    <w:p>
      <w:pPr>
        <w:jc w:val="center"/>
      </w:pPr>
      <w:r>
        <w:drawing>
          <wp:inline xmlns:a="http://schemas.openxmlformats.org/drawingml/2006/main" xmlns:pic="http://schemas.openxmlformats.org/drawingml/2006/picture">
            <wp:extent cx="5989320" cy="2737608"/>
            <wp:docPr id="9" name="Picture 9"/>
            <wp:cNvGraphicFramePr>
              <a:graphicFrameLocks noChangeAspect="1"/>
            </wp:cNvGraphicFramePr>
            <a:graphic>
              <a:graphicData uri="http://schemas.openxmlformats.org/drawingml/2006/picture">
                <pic:pic>
                  <pic:nvPicPr>
                    <pic:cNvPr id="0" name="mission_scheduler_dwell_flow.png"/>
                    <pic:cNvPicPr/>
                  </pic:nvPicPr>
                  <pic:blipFill>
                    <a:blip r:embed="rId23"/>
                    <a:stretch>
                      <a:fillRect/>
                    </a:stretch>
                  </pic:blipFill>
                  <pic:spPr>
                    <a:xfrm>
                      <a:off x="0" y="0"/>
                      <a:ext cx="5989320" cy="2737608"/>
                    </a:xfrm>
                    <a:prstGeom prst="rect"/>
                  </pic:spPr>
                </pic:pic>
              </a:graphicData>
            </a:graphic>
          </wp:inline>
        </w:drawing>
      </w:r>
    </w:p>
    <w:p>
      <w:pPr>
        <w:jc w:val="center"/>
      </w:pPr>
      <w:r>
        <w:rPr>
          <w:i/>
        </w:rPr>
        <w:t>Figure 4. MissionController task submission, scheduler queue ownership and dwell execution.</w:t>
      </w:r>
    </w:p>
    <w:p>
      <w:r>
        <w:br w:type="page"/>
      </w:r>
    </w:p>
    <w:p>
      <w:pPr>
        <w:jc w:val="center"/>
      </w:pPr>
      <w:r>
        <w:drawing>
          <wp:inline xmlns:a="http://schemas.openxmlformats.org/drawingml/2006/main" xmlns:pic="http://schemas.openxmlformats.org/drawingml/2006/picture">
            <wp:extent cx="5989320" cy="2684772"/>
            <wp:docPr id="10" name="Picture 10"/>
            <wp:cNvGraphicFramePr>
              <a:graphicFrameLocks noChangeAspect="1"/>
            </wp:cNvGraphicFramePr>
            <a:graphic>
              <a:graphicData uri="http://schemas.openxmlformats.org/drawingml/2006/picture">
                <pic:pic>
                  <pic:nvPicPr>
                    <pic:cNvPr id="0" name="mission_mode_transitions.png"/>
                    <pic:cNvPicPr/>
                  </pic:nvPicPr>
                  <pic:blipFill>
                    <a:blip r:embed="rId24"/>
                    <a:stretch>
                      <a:fillRect/>
                    </a:stretch>
                  </pic:blipFill>
                  <pic:spPr>
                    <a:xfrm>
                      <a:off x="0" y="0"/>
                      <a:ext cx="5989320" cy="2684772"/>
                    </a:xfrm>
                    <a:prstGeom prst="rect"/>
                  </pic:spPr>
                </pic:pic>
              </a:graphicData>
            </a:graphic>
          </wp:inline>
        </w:drawing>
      </w:r>
    </w:p>
    <w:p>
      <w:pPr>
        <w:jc w:val="center"/>
      </w:pPr>
      <w:r>
        <w:rPr>
          <w:i/>
        </w:rPr>
        <w:t>Figure 5. Planned adaptive mission-mode transitions and search-resumption policy.</w:t>
      </w:r>
    </w:p>
    <w:p>
      <w:pPr>
        <w:pStyle w:val="Heading2"/>
      </w:pPr>
      <w:r>
        <w:t>7.7 Implementation status</w:t>
      </w:r>
    </w:p>
    <w:p>
      <w:r>
        <w:t>Persistent search, deadline-prioritised TrackTask selection, duplicate revisit suppression, search pause/resume, pointing readiness and task-to-dwell execution are implemented. The current baseline still accepts tracker RevisitRequest objects directly in RadarScheduler. MissionController, the general submit/update/cancel task interface, automatic sector promotion, bounded local reacquisition and surveillance-duty enforcement are architectural commitments for staged implementation.</w:t>
      </w:r>
    </w:p>
    <w:p>
      <w:pPr>
        <w:pStyle w:val="Heading1"/>
      </w:pPr>
      <w:r>
        <w:t>8. Pointing Architecture</w:t>
      </w:r>
    </w:p>
    <w:p>
      <w:pPr>
        <w:pStyle w:val="Heading2"/>
      </w:pPr>
      <w:r>
        <w:t>8.1 Search pointing</w:t>
      </w:r>
    </w:p>
    <w:p>
      <w:r>
        <w:t>PointingManager commands continuous slew toward the active endpoint and reverses when measured beam angle reaches or crosses that endpoint. The current sector is 120 to 10 degrees and the operational scan command is 20 deg/s. Reversal uses measured encoder motion and endpoint crossing to avoid repeated reversals at descending-sector boundaries.</w:t>
      </w:r>
    </w:p>
    <w:p>
      <w:pPr>
        <w:pStyle w:val="Heading2"/>
      </w:pPr>
      <w:r>
        <w:t>8.2 Track pointing</w:t>
      </w:r>
    </w:p>
    <w:p>
      <w:r>
        <w:t>Track tasks use GOTO_AND_HOLD. Requested true bearing is transformed into a platform-relative motor command. Readiness requires reachability, angular tolerance, low pan rate and any configured settling interval.</w:t>
      </w:r>
    </w:p>
    <w:p>
      <w:pPr>
        <w:pStyle w:val="Heading2"/>
      </w:pPr>
      <w:r>
        <w:t>8.3 Azimuth reachability and installation limits</w:t>
      </w:r>
    </w:p>
    <w:p>
      <w:r>
        <w:t>The operational X6-60 azimuth axis is unlimited and multi-turn. PointingManager therefore normalises public bearings into 0-360 degrees without applying a legacy left/right software window. Raw multi-turn angle is retained for command construction and provenance. Installation-specific cable-wrap or obstruction limits, if introduced later, shall be explicit mission safety constraints rather than assumed X6-60 end stops.</w:t>
      </w:r>
    </w:p>
    <w:p>
      <w:pPr>
        <w:pStyle w:val="Heading2"/>
      </w:pPr>
      <w:r>
        <w:t>8.4 Measured pointing metadata</w:t>
      </w:r>
    </w:p>
    <w:p>
      <w:r>
        <w:t>Every dwell carries measured X6-60 encoder azimuth, pan rate, raw multi-turn angle, validity, source and navigation state corresponding as closely as practicable to illumination time. The measured encoder bearing is the beam source unless a separately enabled and valid IMU source takes priority.</w:t>
      </w:r>
    </w:p>
    <w:p>
      <w:pPr>
        <w:pStyle w:val="Heading2"/>
      </w:pPr>
      <w:r>
        <w:t>8.5 Operational SocketCAN controller</w:t>
      </w:r>
    </w:p>
    <w:p>
      <w:pPr/>
      <w:r>
        <w:t>The X6-60 uses Linux SocketCAN interface can0 at 1 Mbit/s and node 1. Standard 11-bit request and reply identifiers are 0x141 and 0x241. The calibrated North raw angle is -361.53 degrees and DirectionSign=+1, meaning increasing raw angle is clockwise. The operational scan-rate ceiling is 20 deg/s; absolute-position commands retain a 14 deg/s speed limit; manual nudges are limited to 10 degrees per command.</w:t>
      </w:r>
    </w:p>
    <w:p>
      <w:pPr>
        <w:pStyle w:val="Heading2"/>
      </w:pPr>
      <w:r>
        <w:t>8.6 Startup and motion safety</w:t>
      </w:r>
    </w:p>
    <w:p>
      <w:pPr/>
      <w:r>
        <w:t>Live motion is selected only through the x660-operational profile and requires explicit acknowledgements that motion will occur and the motion area is clear. The transport accepts only closed-loop stop (0x81), signed speed (0xA2), absolute position (0xA4) and incremental position (0xA8). At startup the controller reads and validates the current encoder pose, updates the PPI beam and remains in STOP without issuing any position, slew, nudge or stop command. Motion begins only after an operator SCAN, STARE/goto or nudge action. Missing, DOWN or incorrectly configured can0 causes the operational controller to fail closed before motion.</w:t>
      </w:r>
    </w:p>
    <w:p>
      <w:pPr>
        <w:pStyle w:val="Heading1"/>
      </w:pPr>
      <w:r>
        <w:t>9. Execution Architecture</w:t>
      </w:r>
    </w:p>
    <w:p>
      <w:pPr>
        <w:jc w:val="center"/>
      </w:pPr>
      <w:r>
        <w:drawing>
          <wp:inline xmlns:a="http://schemas.openxmlformats.org/drawingml/2006/main" xmlns:pic="http://schemas.openxmlformats.org/drawingml/2006/picture">
            <wp:extent cx="6583680" cy="3862733"/>
            <wp:docPr id="4" name="Picture 4"/>
            <wp:cNvGraphicFramePr>
              <a:graphicFrameLocks noChangeAspect="1"/>
            </wp:cNvGraphicFramePr>
            <a:graphic>
              <a:graphicData uri="http://schemas.openxmlformats.org/drawingml/2006/picture">
                <pic:pic>
                  <pic:nvPicPr>
                    <pic:cNvPr id="0" name="fig3_sequence.png"/>
                    <pic:cNvPicPr/>
                  </pic:nvPicPr>
                  <pic:blipFill>
                    <a:blip r:embed="rId14"/>
                    <a:stretch>
                      <a:fillRect/>
                    </a:stretch>
                  </pic:blipFill>
                  <pic:spPr>
                    <a:xfrm>
                      <a:off x="0" y="0"/>
                      <a:ext cx="6583680" cy="3862733"/>
                    </a:xfrm>
                    <a:prstGeom prst="rect"/>
                  </pic:spPr>
                </pic:pic>
              </a:graphicData>
            </a:graphic>
          </wp:inline>
        </w:drawing>
      </w:r>
    </w:p>
    <w:p>
      <w:pPr>
        <w:jc w:val="center"/>
      </w:pPr>
      <w:r>
        <w:t>Figure 6. Scheduler-selected task execution through RadarExecutor.</w:t>
      </w:r>
    </w:p>
    <w:p>
      <w:pPr>
        <w:pStyle w:val="Heading2"/>
      </w:pPr>
      <w:r>
        <w:t>9.1 RadarExecutor responsibilities</w:t>
      </w:r>
    </w:p>
    <w:p>
      <w:pPr>
        <w:pStyle w:val="ListBullet"/>
      </w:pPr>
      <w:r>
        <w:t>Select an ExecutionProfile for the task.</w:t>
      </w:r>
    </w:p>
    <w:p>
      <w:pPr>
        <w:pStyle w:val="ListBullet"/>
      </w:pPr>
      <w:r>
        <w:t>Construct the DwellPlan and associated processing intent.</w:t>
      </w:r>
    </w:p>
    <w:p>
      <w:pPr>
        <w:pStyle w:val="ListBullet"/>
      </w:pPr>
      <w:r>
        <w:t>Verify pointing readiness and collect pointing provenance.</w:t>
      </w:r>
    </w:p>
    <w:p>
      <w:pPr>
        <w:pStyle w:val="ListBullet"/>
      </w:pPr>
      <w:r>
        <w:t>Invoke the selected RadarSource implementation.</w:t>
      </w:r>
    </w:p>
    <w:p>
      <w:pPr>
        <w:pStyle w:val="ListBullet"/>
      </w:pPr>
      <w:r>
        <w:t>Return ExecutionResult containing RawDwellData, DwellPlan, PointingState and diagnostics.</w:t>
      </w:r>
    </w:p>
    <w:p>
      <w:pPr>
        <w:pStyle w:val="Heading2"/>
      </w:pPr>
      <w:r>
        <w:t>9.2 Dwell-management lifecycle</w:t>
      </w:r>
    </w:p>
    <w:p>
      <w:r>
        <w:t>There is no separate DwellManager class in the current baseline. RadarExecutor is the dwell-management boundary and advances one selected RadarTask through one executable dwell step. This name describes an architectural responsibility, not an additional scheduler or hardware-control owner.</w:t>
      </w:r>
    </w:p>
    <w:p>
      <w:pPr>
        <w:pStyle w:val="ListNumber"/>
      </w:pPr>
      <w:r>
        <w:t>Activate the selected task in PointingManager when task ownership changes.</w:t>
      </w:r>
    </w:p>
    <w:p>
      <w:pPr>
        <w:pStyle w:val="ListNumber"/>
      </w:pPr>
      <w:r>
        <w:t>Update PointingState and wait when pointing is invalid or a TrackTask has not reached goto-and-hold readiness.</w:t>
      </w:r>
    </w:p>
    <w:p>
      <w:pPr>
        <w:pStyle w:val="ListNumber"/>
      </w:pPr>
      <w:r>
        <w:t>Select the task-specific ExecutionProfile containing waveform, sample rate, pulse count, PRI, sample count, attenuation and SDR profile.</w:t>
      </w:r>
    </w:p>
    <w:p>
      <w:pPr>
        <w:pStyle w:val="ListNumber"/>
      </w:pPr>
      <w:r>
        <w:t>Allocate a DwellId and expand the profile into an immutable pulse sequence and ProcessingPlan.</w:t>
      </w:r>
    </w:p>
    <w:p>
      <w:pPr>
        <w:pStyle w:val="ListNumber"/>
      </w:pPr>
      <w:r>
        <w:t>Execute the DwellPlan through SimulatedSource or EttusRadarSource using the common RadarSource boundary.</w:t>
      </w:r>
    </w:p>
    <w:p>
      <w:pPr>
        <w:pStyle w:val="ListNumber"/>
      </w:pPr>
      <w:r>
        <w:t>Attach task, pointing, navigation, timing and source diagnostics to RawDwellData and return the ExecutionResult.</w:t>
      </w:r>
    </w:p>
    <w:p>
      <w:pPr>
        <w:pStyle w:val="ListNumber"/>
      </w:pPr>
      <w:r>
        <w:t>Release dwell ownership when the scheduler completes or fails the active task; never select the next task inside RadarExecutor.</w:t>
      </w:r>
    </w:p>
    <w:p>
      <w:pPr>
        <w:pStyle w:val="Heading2"/>
      </w:pPr>
      <w:r>
        <w:t>9.3 Excluded responsibilities</w:t>
      </w:r>
    </w:p>
    <w:p>
      <w:pPr>
        <w:pStyle w:val="ListBullet"/>
      </w:pPr>
      <w:r>
        <w:t>Task selection.</w:t>
      </w:r>
    </w:p>
    <w:p>
      <w:pPr>
        <w:pStyle w:val="ListBullet"/>
      </w:pPr>
      <w:r>
        <w:t>Motor-command generation.</w:t>
      </w:r>
    </w:p>
    <w:p>
      <w:pPr>
        <w:pStyle w:val="ListBullet"/>
      </w:pPr>
      <w:r>
        <w:t>IQ processing or detection.</w:t>
      </w:r>
    </w:p>
    <w:p>
      <w:pPr>
        <w:pStyle w:val="ListBullet"/>
      </w:pPr>
      <w:r>
        <w:t>Track-state maintenance.</w:t>
      </w:r>
    </w:p>
    <w:p>
      <w:pPr>
        <w:pStyle w:val="ListBullet"/>
      </w:pPr>
      <w:r>
        <w:t>Display updates.</w:t>
      </w:r>
    </w:p>
    <w:p>
      <w:pPr>
        <w:pStyle w:val="Heading2"/>
      </w:pPr>
      <w:r>
        <w:t>9.4 Source selection</w:t>
      </w:r>
    </w:p>
    <w:p>
      <w:r>
        <w:t>SimulatedSource and EttusRadarSource implement the same operational source boundary. Runtime configuration selects the source. Hardware integration therefore remains localised to the execution layer and does not reshape Scheduler, PointingManager or RadarProcessor.</w:t>
      </w:r>
    </w:p>
    <w:p>
      <w:pPr>
        <w:pStyle w:val="Heading1"/>
      </w:pPr>
      <w:r>
        <w:t>10. Pulse and Waveform Architecture</w:t>
      </w:r>
    </w:p>
    <w:p>
      <w:pPr>
        <w:pStyle w:val="Heading2"/>
      </w:pPr>
      <w:r>
        <w:t>10.1 Waveform definitions</w:t>
      </w:r>
    </w:p>
    <w:p>
      <w:r>
        <w:t>Waveforms are reusable immutable signal definitions stored by WaveformLibrary. Each definition contains WaveformId, code-family identity, chip sequence, chip count, nominal chip rate, fixed SDR sample rate, integer samples per chip, sampled waveform length and pulse duration. WaveformId explicitly includes nominal chip rate, for example Frank10_10MHz or Frank10_20MHz. Search or track purpose is not embedded in waveform samples; an execution profile associates a waveform with task and processing intent.</w:t>
      </w:r>
    </w:p>
    <w:p>
      <w:pPr/>
      <w:r>
        <w:t>The initial hardware path uses a fixed 40 MS/s complex sample rate. Waveform bandwidth and pulse duration are changed through chip rate and samples per chip, not by changing the SDR sample rate.</w:t>
      </w:r>
    </w:p>
    <w:p>
      <w:pPr/>
      <w:r>
        <w:t>The configured search and track waveform is Golay64_20MHz. Each A or B member contains 64 chips at 20 Mchip/s and two samples per chip, giving 128 waveform samples and 3.20 microseconds duration. The transport adds eight leading zero samples (0.20 microseconds) without changing the matched-filter reference. Frank and Barker definitions remain available as rate-qualified catalogue entries for controlled tests and future profiles.</w:t>
      </w:r>
    </w:p>
    <w:p>
      <w:pPr/>
      <w:r>
        <w:t>Waveform chip rates shall divide 40 MS/s by an integer until fractional resampling is deliberately implemented. The initial catalogue supports 10 Mchip/s at four samples per chip and 20 Mchip/s at two samples per chip. Ambiguous rate-free identifiers such as Frank10 and Barker13 shall not be used in new plans or configuration.</w:t>
      </w:r>
    </w:p>
    <w:p>
      <w:pPr>
        <w:pStyle w:val="Heading3"/>
      </w:pPr>
      <w:r>
        <w:t>10.1.1 Rate-qualified waveform identifiers</w:t>
      </w:r>
    </w:p>
    <w:tbl>
      <w:tblPr>
        <w:tblStyle w:val="TableGrid"/>
        <w:tblW w:type="dxa" w:w="9840"/>
        <w:jc w:val="left"/>
        <w:tblLayout w:type="fixed"/>
        <w:tblLook w:firstColumn="1" w:firstRow="1" w:lastColumn="0" w:lastRow="0" w:noHBand="0" w:noVBand="1" w:val="04A0"/>
        <w:tblInd w:type="dxa" w:w="120"/>
      </w:tblPr>
      <w:tblGrid>
        <w:gridCol w:w="2700"/>
        <w:gridCol w:w="900"/>
        <w:gridCol w:w="1600"/>
        <w:gridCol w:w="1550"/>
        <w:gridCol w:w="1450"/>
        <w:gridCol w:w="1640"/>
      </w:tblGrid>
      <w:tr>
        <w:trPr>
          <w:tblHeader w:val="true"/>
          <w:cantSplit/>
        </w:trPr>
        <w:tc>
          <w:tcPr>
            <w:tcW w:type="dxa" w:w="2700"/>
            <w:vAlign w:val="center"/>
            <w:tcMar>
              <w:top w:w="70" w:type="dxa"/>
              <w:bottom w:w="70" w:type="dxa"/>
              <w:start w:w="100" w:type="dxa"/>
              <w:end w:w="100" w:type="dxa"/>
            </w:tcMar>
          </w:tcPr>
          <w:p>
            <w:pPr>
              <w:spacing w:before="0" w:after="0" w:line="240" w:lineRule="auto"/>
              <w:jc w:val="left"/>
            </w:pPr>
            <w:r>
              <w:rPr>
                <w:b/>
                <w:sz w:val="17"/>
              </w:rPr>
              <w:t>WaveformId</w:t>
            </w:r>
          </w:p>
        </w:tc>
        <w:tc>
          <w:tcPr>
            <w:tcW w:type="dxa" w:w="900"/>
            <w:vAlign w:val="center"/>
            <w:tcMar>
              <w:top w:w="70" w:type="dxa"/>
              <w:bottom w:w="70" w:type="dxa"/>
              <w:start w:w="100" w:type="dxa"/>
              <w:end w:w="100" w:type="dxa"/>
            </w:tcMar>
          </w:tcPr>
          <w:p>
            <w:pPr>
              <w:spacing w:before="0" w:after="0" w:line="240" w:lineRule="auto"/>
              <w:jc w:val="center"/>
            </w:pPr>
            <w:r>
              <w:rPr>
                <w:b/>
                <w:sz w:val="17"/>
              </w:rPr>
              <w:t>Chips</w:t>
            </w:r>
          </w:p>
        </w:tc>
        <w:tc>
          <w:tcPr>
            <w:tcW w:type="dxa" w:w="1600"/>
            <w:vAlign w:val="center"/>
            <w:tcMar>
              <w:top w:w="70" w:type="dxa"/>
              <w:bottom w:w="70" w:type="dxa"/>
              <w:start w:w="100" w:type="dxa"/>
              <w:end w:w="100" w:type="dxa"/>
            </w:tcMar>
          </w:tcPr>
          <w:p>
            <w:pPr>
              <w:spacing w:before="0" w:after="0" w:line="240" w:lineRule="auto"/>
              <w:jc w:val="center"/>
            </w:pPr>
            <w:r>
              <w:rPr>
                <w:b/>
                <w:sz w:val="17"/>
              </w:rPr>
              <w:t>Chip rate</w:t>
            </w:r>
          </w:p>
        </w:tc>
        <w:tc>
          <w:tcPr>
            <w:tcW w:type="dxa" w:w="1550"/>
            <w:vAlign w:val="center"/>
            <w:tcMar>
              <w:top w:w="70" w:type="dxa"/>
              <w:bottom w:w="70" w:type="dxa"/>
              <w:start w:w="100" w:type="dxa"/>
              <w:end w:w="100" w:type="dxa"/>
            </w:tcMar>
          </w:tcPr>
          <w:p>
            <w:pPr>
              <w:spacing w:before="0" w:after="0" w:line="240" w:lineRule="auto"/>
              <w:jc w:val="center"/>
            </w:pPr>
            <w:r>
              <w:rPr>
                <w:b/>
                <w:sz w:val="17"/>
              </w:rPr>
              <w:t>Samples/chip</w:t>
            </w:r>
          </w:p>
        </w:tc>
        <w:tc>
          <w:tcPr>
            <w:tcW w:type="dxa" w:w="1450"/>
            <w:vAlign w:val="center"/>
            <w:tcMar>
              <w:top w:w="70" w:type="dxa"/>
              <w:bottom w:w="70" w:type="dxa"/>
              <w:start w:w="100" w:type="dxa"/>
              <w:end w:w="100" w:type="dxa"/>
            </w:tcMar>
          </w:tcPr>
          <w:p>
            <w:pPr>
              <w:spacing w:before="0" w:after="0" w:line="240" w:lineRule="auto"/>
              <w:jc w:val="center"/>
            </w:pPr>
            <w:r>
              <w:rPr>
                <w:b/>
                <w:sz w:val="17"/>
              </w:rPr>
              <w:t>TX samples</w:t>
            </w:r>
          </w:p>
        </w:tc>
        <w:tc>
          <w:tcPr>
            <w:tcW w:type="dxa" w:w="1640"/>
            <w:vAlign w:val="center"/>
            <w:tcMar>
              <w:top w:w="70" w:type="dxa"/>
              <w:bottom w:w="70" w:type="dxa"/>
              <w:start w:w="100" w:type="dxa"/>
              <w:end w:w="100" w:type="dxa"/>
            </w:tcMar>
          </w:tcPr>
          <w:p>
            <w:pPr>
              <w:spacing w:before="0" w:after="0" w:line="240" w:lineRule="auto"/>
              <w:jc w:val="center"/>
            </w:pPr>
            <w:r>
              <w:rPr>
                <w:b/>
                <w:sz w:val="17"/>
              </w:rPr>
              <w:t>Pulse duration</w:t>
            </w:r>
          </w:p>
        </w:tc>
      </w:tr>
      <w:tr>
        <w:trPr>
          <w:cantSplit/>
        </w:trPr>
        <w:tc>
          <w:tcPr>
            <w:tcW w:type="dxa" w:w="2700"/>
            <w:vAlign w:val="center"/>
            <w:tcMar>
              <w:top w:w="70" w:type="dxa"/>
              <w:bottom w:w="70" w:type="dxa"/>
              <w:start w:w="100" w:type="dxa"/>
              <w:end w:w="100" w:type="dxa"/>
            </w:tcMar>
          </w:tcPr>
          <w:p>
            <w:pPr>
              <w:spacing w:before="0" w:after="0" w:line="240" w:lineRule="auto"/>
              <w:jc w:val="left"/>
            </w:pPr>
            <w:r>
              <w:rPr>
                <w:b w:val="0"/>
                <w:sz w:val="17"/>
              </w:rPr>
              <w:t>Barker13_10MHz</w:t>
            </w:r>
          </w:p>
        </w:tc>
        <w:tc>
          <w:tcPr>
            <w:tcW w:type="dxa" w:w="900"/>
            <w:vAlign w:val="center"/>
            <w:tcMar>
              <w:top w:w="70" w:type="dxa"/>
              <w:bottom w:w="70" w:type="dxa"/>
              <w:start w:w="100" w:type="dxa"/>
              <w:end w:w="100" w:type="dxa"/>
            </w:tcMar>
          </w:tcPr>
          <w:p>
            <w:pPr>
              <w:spacing w:before="0" w:after="0" w:line="240" w:lineRule="auto"/>
              <w:jc w:val="center"/>
            </w:pPr>
            <w:r>
              <w:rPr>
                <w:b w:val="0"/>
                <w:sz w:val="17"/>
              </w:rPr>
              <w:t>13</w:t>
            </w:r>
          </w:p>
        </w:tc>
        <w:tc>
          <w:tcPr>
            <w:tcW w:type="dxa" w:w="1600"/>
            <w:vAlign w:val="center"/>
            <w:tcMar>
              <w:top w:w="70" w:type="dxa"/>
              <w:bottom w:w="70" w:type="dxa"/>
              <w:start w:w="100" w:type="dxa"/>
              <w:end w:w="100" w:type="dxa"/>
            </w:tcMar>
          </w:tcPr>
          <w:p>
            <w:pPr>
              <w:spacing w:before="0" w:after="0" w:line="240" w:lineRule="auto"/>
              <w:jc w:val="center"/>
            </w:pPr>
            <w:r>
              <w:rPr>
                <w:b w:val="0"/>
                <w:sz w:val="17"/>
              </w:rPr>
              <w:t>10 Mchip/s</w:t>
            </w:r>
          </w:p>
        </w:tc>
        <w:tc>
          <w:tcPr>
            <w:tcW w:type="dxa" w:w="1550"/>
            <w:vAlign w:val="center"/>
            <w:tcMar>
              <w:top w:w="70" w:type="dxa"/>
              <w:bottom w:w="70" w:type="dxa"/>
              <w:start w:w="100" w:type="dxa"/>
              <w:end w:w="100" w:type="dxa"/>
            </w:tcMar>
          </w:tcPr>
          <w:p>
            <w:pPr>
              <w:spacing w:before="0" w:after="0" w:line="240" w:lineRule="auto"/>
              <w:jc w:val="center"/>
            </w:pPr>
            <w:r>
              <w:rPr>
                <w:b w:val="0"/>
                <w:sz w:val="17"/>
              </w:rPr>
              <w:t>4</w:t>
            </w:r>
          </w:p>
        </w:tc>
        <w:tc>
          <w:tcPr>
            <w:tcW w:type="dxa" w:w="1450"/>
            <w:vAlign w:val="center"/>
            <w:tcMar>
              <w:top w:w="70" w:type="dxa"/>
              <w:bottom w:w="70" w:type="dxa"/>
              <w:start w:w="100" w:type="dxa"/>
              <w:end w:w="100" w:type="dxa"/>
            </w:tcMar>
          </w:tcPr>
          <w:p>
            <w:pPr>
              <w:spacing w:before="0" w:after="0" w:line="240" w:lineRule="auto"/>
              <w:jc w:val="center"/>
            </w:pPr>
            <w:r>
              <w:rPr>
                <w:b w:val="0"/>
                <w:sz w:val="17"/>
              </w:rPr>
              <w:t>52</w:t>
            </w:r>
          </w:p>
        </w:tc>
        <w:tc>
          <w:tcPr>
            <w:tcW w:type="dxa" w:w="1640"/>
            <w:vAlign w:val="center"/>
            <w:tcMar>
              <w:top w:w="70" w:type="dxa"/>
              <w:bottom w:w="70" w:type="dxa"/>
              <w:start w:w="100" w:type="dxa"/>
              <w:end w:w="100" w:type="dxa"/>
            </w:tcMar>
          </w:tcPr>
          <w:p>
            <w:pPr>
              <w:spacing w:before="0" w:after="0" w:line="240" w:lineRule="auto"/>
              <w:jc w:val="center"/>
            </w:pPr>
            <w:r>
              <w:rPr>
                <w:b w:val="0"/>
                <w:sz w:val="17"/>
              </w:rPr>
              <w:t>1.30 µs</w:t>
            </w:r>
          </w:p>
        </w:tc>
      </w:tr>
      <w:tr>
        <w:trPr>
          <w:cantSplit/>
        </w:trPr>
        <w:tc>
          <w:tcPr>
            <w:tcW w:type="dxa" w:w="2700"/>
            <w:vAlign w:val="center"/>
            <w:tcMar>
              <w:top w:w="70" w:type="dxa"/>
              <w:bottom w:w="70" w:type="dxa"/>
              <w:start w:w="100" w:type="dxa"/>
              <w:end w:w="100" w:type="dxa"/>
            </w:tcMar>
          </w:tcPr>
          <w:p>
            <w:pPr>
              <w:spacing w:before="0" w:after="0" w:line="240" w:lineRule="auto"/>
              <w:jc w:val="left"/>
            </w:pPr>
            <w:r>
              <w:rPr>
                <w:b w:val="0"/>
                <w:sz w:val="17"/>
              </w:rPr>
              <w:t>Barker13_20MHz</w:t>
            </w:r>
          </w:p>
        </w:tc>
        <w:tc>
          <w:tcPr>
            <w:tcW w:type="dxa" w:w="900"/>
            <w:vAlign w:val="center"/>
            <w:tcMar>
              <w:top w:w="70" w:type="dxa"/>
              <w:bottom w:w="70" w:type="dxa"/>
              <w:start w:w="100" w:type="dxa"/>
              <w:end w:w="100" w:type="dxa"/>
            </w:tcMar>
          </w:tcPr>
          <w:p>
            <w:pPr>
              <w:spacing w:before="0" w:after="0" w:line="240" w:lineRule="auto"/>
              <w:jc w:val="center"/>
            </w:pPr>
            <w:r>
              <w:rPr>
                <w:b w:val="0"/>
                <w:sz w:val="17"/>
              </w:rPr>
              <w:t>13</w:t>
            </w:r>
          </w:p>
        </w:tc>
        <w:tc>
          <w:tcPr>
            <w:tcW w:type="dxa" w:w="1600"/>
            <w:vAlign w:val="center"/>
            <w:tcMar>
              <w:top w:w="70" w:type="dxa"/>
              <w:bottom w:w="70" w:type="dxa"/>
              <w:start w:w="100" w:type="dxa"/>
              <w:end w:w="100" w:type="dxa"/>
            </w:tcMar>
          </w:tcPr>
          <w:p>
            <w:pPr>
              <w:spacing w:before="0" w:after="0" w:line="240" w:lineRule="auto"/>
              <w:jc w:val="center"/>
            </w:pPr>
            <w:r>
              <w:rPr>
                <w:b w:val="0"/>
                <w:sz w:val="17"/>
              </w:rPr>
              <w:t>20 Mchip/s</w:t>
            </w:r>
          </w:p>
        </w:tc>
        <w:tc>
          <w:tcPr>
            <w:tcW w:type="dxa" w:w="1550"/>
            <w:vAlign w:val="center"/>
            <w:tcMar>
              <w:top w:w="70" w:type="dxa"/>
              <w:bottom w:w="70" w:type="dxa"/>
              <w:start w:w="100" w:type="dxa"/>
              <w:end w:w="100" w:type="dxa"/>
            </w:tcMar>
          </w:tcPr>
          <w:p>
            <w:pPr>
              <w:spacing w:before="0" w:after="0" w:line="240" w:lineRule="auto"/>
              <w:jc w:val="center"/>
            </w:pPr>
            <w:r>
              <w:rPr>
                <w:b w:val="0"/>
                <w:sz w:val="17"/>
              </w:rPr>
              <w:t>2</w:t>
            </w:r>
          </w:p>
        </w:tc>
        <w:tc>
          <w:tcPr>
            <w:tcW w:type="dxa" w:w="1450"/>
            <w:vAlign w:val="center"/>
            <w:tcMar>
              <w:top w:w="70" w:type="dxa"/>
              <w:bottom w:w="70" w:type="dxa"/>
              <w:start w:w="100" w:type="dxa"/>
              <w:end w:w="100" w:type="dxa"/>
            </w:tcMar>
          </w:tcPr>
          <w:p>
            <w:pPr>
              <w:spacing w:before="0" w:after="0" w:line="240" w:lineRule="auto"/>
              <w:jc w:val="center"/>
            </w:pPr>
            <w:r>
              <w:rPr>
                <w:b w:val="0"/>
                <w:sz w:val="17"/>
              </w:rPr>
              <w:t>26</w:t>
            </w:r>
          </w:p>
        </w:tc>
        <w:tc>
          <w:tcPr>
            <w:tcW w:type="dxa" w:w="1640"/>
            <w:vAlign w:val="center"/>
            <w:tcMar>
              <w:top w:w="70" w:type="dxa"/>
              <w:bottom w:w="70" w:type="dxa"/>
              <w:start w:w="100" w:type="dxa"/>
              <w:end w:w="100" w:type="dxa"/>
            </w:tcMar>
          </w:tcPr>
          <w:p>
            <w:pPr>
              <w:spacing w:before="0" w:after="0" w:line="240" w:lineRule="auto"/>
              <w:jc w:val="center"/>
            </w:pPr>
            <w:r>
              <w:rPr>
                <w:b w:val="0"/>
                <w:sz w:val="17"/>
              </w:rPr>
              <w:t>0.65 µs</w:t>
            </w:r>
          </w:p>
        </w:tc>
      </w:tr>
      <w:tr>
        <w:trPr>
          <w:cantSplit/>
        </w:trPr>
        <w:tc>
          <w:tcPr>
            <w:tcW w:type="dxa" w:w="2700"/>
            <w:vAlign w:val="center"/>
            <w:tcMar>
              <w:top w:w="70" w:type="dxa"/>
              <w:bottom w:w="70" w:type="dxa"/>
              <w:start w:w="100" w:type="dxa"/>
              <w:end w:w="100" w:type="dxa"/>
            </w:tcMar>
          </w:tcPr>
          <w:p>
            <w:pPr>
              <w:spacing w:before="0" w:after="0" w:line="240" w:lineRule="auto"/>
              <w:jc w:val="left"/>
            </w:pPr>
            <w:r>
              <w:rPr>
                <w:b w:val="0"/>
                <w:sz w:val="17"/>
              </w:rPr>
              <w:t>Frank10_10MHz</w:t>
            </w:r>
          </w:p>
        </w:tc>
        <w:tc>
          <w:tcPr>
            <w:tcW w:type="dxa" w:w="900"/>
            <w:vAlign w:val="center"/>
            <w:tcMar>
              <w:top w:w="70" w:type="dxa"/>
              <w:bottom w:w="70" w:type="dxa"/>
              <w:start w:w="100" w:type="dxa"/>
              <w:end w:w="100" w:type="dxa"/>
            </w:tcMar>
          </w:tcPr>
          <w:p>
            <w:pPr>
              <w:spacing w:before="0" w:after="0" w:line="240" w:lineRule="auto"/>
              <w:jc w:val="center"/>
            </w:pPr>
            <w:r>
              <w:rPr>
                <w:b w:val="0"/>
                <w:sz w:val="17"/>
              </w:rPr>
              <w:t>100</w:t>
            </w:r>
          </w:p>
        </w:tc>
        <w:tc>
          <w:tcPr>
            <w:tcW w:type="dxa" w:w="1600"/>
            <w:vAlign w:val="center"/>
            <w:tcMar>
              <w:top w:w="70" w:type="dxa"/>
              <w:bottom w:w="70" w:type="dxa"/>
              <w:start w:w="100" w:type="dxa"/>
              <w:end w:w="100" w:type="dxa"/>
            </w:tcMar>
          </w:tcPr>
          <w:p>
            <w:pPr>
              <w:spacing w:before="0" w:after="0" w:line="240" w:lineRule="auto"/>
              <w:jc w:val="center"/>
            </w:pPr>
            <w:r>
              <w:rPr>
                <w:b w:val="0"/>
                <w:sz w:val="17"/>
              </w:rPr>
              <w:t>10 Mchip/s</w:t>
            </w:r>
          </w:p>
        </w:tc>
        <w:tc>
          <w:tcPr>
            <w:tcW w:type="dxa" w:w="1550"/>
            <w:vAlign w:val="center"/>
            <w:tcMar>
              <w:top w:w="70" w:type="dxa"/>
              <w:bottom w:w="70" w:type="dxa"/>
              <w:start w:w="100" w:type="dxa"/>
              <w:end w:w="100" w:type="dxa"/>
            </w:tcMar>
          </w:tcPr>
          <w:p>
            <w:pPr>
              <w:spacing w:before="0" w:after="0" w:line="240" w:lineRule="auto"/>
              <w:jc w:val="center"/>
            </w:pPr>
            <w:r>
              <w:rPr>
                <w:b w:val="0"/>
                <w:sz w:val="17"/>
              </w:rPr>
              <w:t>4</w:t>
            </w:r>
          </w:p>
        </w:tc>
        <w:tc>
          <w:tcPr>
            <w:tcW w:type="dxa" w:w="1450"/>
            <w:vAlign w:val="center"/>
            <w:tcMar>
              <w:top w:w="70" w:type="dxa"/>
              <w:bottom w:w="70" w:type="dxa"/>
              <w:start w:w="100" w:type="dxa"/>
              <w:end w:w="100" w:type="dxa"/>
            </w:tcMar>
          </w:tcPr>
          <w:p>
            <w:pPr>
              <w:spacing w:before="0" w:after="0" w:line="240" w:lineRule="auto"/>
              <w:jc w:val="center"/>
            </w:pPr>
            <w:r>
              <w:rPr>
                <w:b w:val="0"/>
                <w:sz w:val="17"/>
              </w:rPr>
              <w:t>400</w:t>
            </w:r>
          </w:p>
        </w:tc>
        <w:tc>
          <w:tcPr>
            <w:tcW w:type="dxa" w:w="1640"/>
            <w:vAlign w:val="center"/>
            <w:tcMar>
              <w:top w:w="70" w:type="dxa"/>
              <w:bottom w:w="70" w:type="dxa"/>
              <w:start w:w="100" w:type="dxa"/>
              <w:end w:w="100" w:type="dxa"/>
            </w:tcMar>
          </w:tcPr>
          <w:p>
            <w:pPr>
              <w:spacing w:before="0" w:after="0" w:line="240" w:lineRule="auto"/>
              <w:jc w:val="center"/>
            </w:pPr>
            <w:r>
              <w:rPr>
                <w:b w:val="0"/>
                <w:sz w:val="17"/>
              </w:rPr>
              <w:t>10.00 µs</w:t>
            </w:r>
          </w:p>
        </w:tc>
      </w:tr>
      <w:tr>
        <w:trPr>
          <w:cantSplit/>
        </w:trPr>
        <w:tc>
          <w:tcPr>
            <w:tcW w:type="dxa" w:w="2700"/>
            <w:vAlign w:val="center"/>
            <w:tcMar>
              <w:top w:w="70" w:type="dxa"/>
              <w:bottom w:w="70" w:type="dxa"/>
              <w:start w:w="100" w:type="dxa"/>
              <w:end w:w="100" w:type="dxa"/>
            </w:tcMar>
          </w:tcPr>
          <w:p>
            <w:pPr>
              <w:spacing w:before="0" w:after="0" w:line="240" w:lineRule="auto"/>
              <w:jc w:val="left"/>
            </w:pPr>
            <w:r>
              <w:rPr>
                <w:b w:val="0"/>
                <w:sz w:val="17"/>
              </w:rPr>
              <w:t>Frank10_20MHz</w:t>
            </w:r>
          </w:p>
        </w:tc>
        <w:tc>
          <w:tcPr>
            <w:tcW w:type="dxa" w:w="900"/>
            <w:vAlign w:val="center"/>
            <w:tcMar>
              <w:top w:w="70" w:type="dxa"/>
              <w:bottom w:w="70" w:type="dxa"/>
              <w:start w:w="100" w:type="dxa"/>
              <w:end w:w="100" w:type="dxa"/>
            </w:tcMar>
          </w:tcPr>
          <w:p>
            <w:pPr>
              <w:spacing w:before="0" w:after="0" w:line="240" w:lineRule="auto"/>
              <w:jc w:val="center"/>
            </w:pPr>
            <w:r>
              <w:rPr>
                <w:b w:val="0"/>
                <w:sz w:val="17"/>
              </w:rPr>
              <w:t>100</w:t>
            </w:r>
          </w:p>
        </w:tc>
        <w:tc>
          <w:tcPr>
            <w:tcW w:type="dxa" w:w="1600"/>
            <w:vAlign w:val="center"/>
            <w:tcMar>
              <w:top w:w="70" w:type="dxa"/>
              <w:bottom w:w="70" w:type="dxa"/>
              <w:start w:w="100" w:type="dxa"/>
              <w:end w:w="100" w:type="dxa"/>
            </w:tcMar>
          </w:tcPr>
          <w:p>
            <w:pPr>
              <w:spacing w:before="0" w:after="0" w:line="240" w:lineRule="auto"/>
              <w:jc w:val="center"/>
            </w:pPr>
            <w:r>
              <w:rPr>
                <w:b w:val="0"/>
                <w:sz w:val="17"/>
              </w:rPr>
              <w:t>20 Mchip/s</w:t>
            </w:r>
          </w:p>
        </w:tc>
        <w:tc>
          <w:tcPr>
            <w:tcW w:type="dxa" w:w="1550"/>
            <w:vAlign w:val="center"/>
            <w:tcMar>
              <w:top w:w="70" w:type="dxa"/>
              <w:bottom w:w="70" w:type="dxa"/>
              <w:start w:w="100" w:type="dxa"/>
              <w:end w:w="100" w:type="dxa"/>
            </w:tcMar>
          </w:tcPr>
          <w:p>
            <w:pPr>
              <w:spacing w:before="0" w:after="0" w:line="240" w:lineRule="auto"/>
              <w:jc w:val="center"/>
            </w:pPr>
            <w:r>
              <w:rPr>
                <w:b w:val="0"/>
                <w:sz w:val="17"/>
              </w:rPr>
              <w:t>2</w:t>
            </w:r>
          </w:p>
        </w:tc>
        <w:tc>
          <w:tcPr>
            <w:tcW w:type="dxa" w:w="1450"/>
            <w:vAlign w:val="center"/>
            <w:tcMar>
              <w:top w:w="70" w:type="dxa"/>
              <w:bottom w:w="70" w:type="dxa"/>
              <w:start w:w="100" w:type="dxa"/>
              <w:end w:w="100" w:type="dxa"/>
            </w:tcMar>
          </w:tcPr>
          <w:p>
            <w:pPr>
              <w:spacing w:before="0" w:after="0" w:line="240" w:lineRule="auto"/>
              <w:jc w:val="center"/>
            </w:pPr>
            <w:r>
              <w:rPr>
                <w:b w:val="0"/>
                <w:sz w:val="17"/>
              </w:rPr>
              <w:t>200</w:t>
            </w:r>
          </w:p>
        </w:tc>
        <w:tc>
          <w:tcPr>
            <w:tcW w:type="dxa" w:w="1640"/>
            <w:vAlign w:val="center"/>
            <w:tcMar>
              <w:top w:w="70" w:type="dxa"/>
              <w:bottom w:w="70" w:type="dxa"/>
              <w:start w:w="100" w:type="dxa"/>
              <w:end w:w="100" w:type="dxa"/>
            </w:tcMar>
          </w:tcPr>
          <w:p>
            <w:pPr>
              <w:spacing w:before="0" w:after="0" w:line="240" w:lineRule="auto"/>
              <w:jc w:val="center"/>
            </w:pPr>
            <w:r>
              <w:rPr>
                <w:b w:val="0"/>
                <w:sz w:val="17"/>
              </w:rPr>
              <w:t>5.00 µs</w:t>
            </w:r>
          </w:p>
        </w:tc>
      </w:tr>
      <w:tr>
        <w:trPr>
          <w:cantSplit/>
        </w:trPr>
        <w:tc>
          <w:tcPr>
            <w:tcW w:type="dxa" w:w="2700"/>
          </w:tcPr>
          <w:p>
            <w:r>
              <w:t>Golay64A_20MHz</w:t>
            </w:r>
          </w:p>
        </w:tc>
        <w:tc>
          <w:tcPr>
            <w:tcW w:type="dxa" w:w="900"/>
          </w:tcPr>
          <w:p>
            <w:r>
              <w:t>64</w:t>
            </w:r>
          </w:p>
        </w:tc>
        <w:tc>
          <w:tcPr>
            <w:tcW w:type="dxa" w:w="1600"/>
          </w:tcPr>
          <w:p>
            <w:r>
              <w:t>20 Mchip/s</w:t>
            </w:r>
          </w:p>
        </w:tc>
        <w:tc>
          <w:tcPr>
            <w:tcW w:type="dxa" w:w="1550"/>
          </w:tcPr>
          <w:p>
            <w:r>
              <w:t>2</w:t>
            </w:r>
          </w:p>
        </w:tc>
        <w:tc>
          <w:tcPr>
            <w:tcW w:type="dxa" w:w="1450"/>
          </w:tcPr>
          <w:p>
            <w:r>
              <w:t>128</w:t>
            </w:r>
          </w:p>
        </w:tc>
        <w:tc>
          <w:tcPr>
            <w:tcW w:type="dxa" w:w="1640"/>
          </w:tcPr>
          <w:p>
            <w:r>
              <w:t>3.20 µs</w:t>
            </w:r>
          </w:p>
        </w:tc>
      </w:tr>
      <w:tr>
        <w:trPr>
          <w:cantSplit/>
        </w:trPr>
        <w:tc>
          <w:tcPr>
            <w:tcW w:type="dxa" w:w="2700"/>
          </w:tcPr>
          <w:p>
            <w:r>
              <w:t>Golay64B_20MHz</w:t>
            </w:r>
          </w:p>
        </w:tc>
        <w:tc>
          <w:tcPr>
            <w:tcW w:type="dxa" w:w="900"/>
          </w:tcPr>
          <w:p>
            <w:r>
              <w:t>64</w:t>
            </w:r>
          </w:p>
        </w:tc>
        <w:tc>
          <w:tcPr>
            <w:tcW w:type="dxa" w:w="1600"/>
          </w:tcPr>
          <w:p>
            <w:r>
              <w:t>20 Mchip/s</w:t>
            </w:r>
          </w:p>
        </w:tc>
        <w:tc>
          <w:tcPr>
            <w:tcW w:type="dxa" w:w="1550"/>
          </w:tcPr>
          <w:p>
            <w:r>
              <w:t>2</w:t>
            </w:r>
          </w:p>
        </w:tc>
        <w:tc>
          <w:tcPr>
            <w:tcW w:type="dxa" w:w="1450"/>
          </w:tcPr>
          <w:p>
            <w:r>
              <w:t>128</w:t>
            </w:r>
          </w:p>
        </w:tc>
        <w:tc>
          <w:tcPr>
            <w:tcW w:type="dxa" w:w="1640"/>
          </w:tcPr>
          <w:p>
            <w:r>
              <w:t>3.20 µs</w:t>
            </w:r>
          </w:p>
        </w:tc>
      </w:tr>
    </w:tbl>
    <w:p>
      <w:pPr>
        <w:spacing w:before="80" w:after="60"/>
      </w:pPr>
      <w:r>
        <w:t>The spelling and capitalisation of each WaveformId are part of the software interface. The suffix records nominal chip rate; it does not change the fixed 40 MS/s SDR sample rate.</w:t>
      </w:r>
    </w:p>
    <w:p>
      <w:pPr>
        <w:pStyle w:val="Heading3"/>
      </w:pPr>
      <w:r>
        <w:t>10.1.2 Catalogue ownership and selection</w:t>
      </w:r>
    </w:p>
    <w:p>
      <w:r>
        <w:t>WaveformLibrary is the authoritative runtime catalogue. A waveform definition records signal identity and sampled representation only; it does not contain mission priority, antenna pointing or search/track policy. ExecutionProfile selects a catalogue WaveformId together with PRF, pulse count, receive extent, attenuation and SDR configuration. ProcessingPlan then states how the completed CPI is interpreted.</w:t>
      </w:r>
    </w:p>
    <w:p>
      <w:pPr>
        <w:pStyle w:val="ListBullet"/>
      </w:pPr>
      <w:r>
        <w:t>Catalogue lookup is by exact, rate-qualified WaveformId and rejects unknown or ambiguous identifiers.</w:t>
      </w:r>
    </w:p>
    <w:p>
      <w:pPr>
        <w:pStyle w:val="ListBullet"/>
      </w:pPr>
      <w:r>
        <w:t>Definition arrays are immutable after construction so transmit and matched-filter coefficients cannot diverge during a dwell.</w:t>
      </w:r>
    </w:p>
    <w:p>
      <w:pPr>
        <w:pStyle w:val="ListBullet"/>
      </w:pPr>
      <w:r>
        <w:t>The catalogue validates the fixed 40 MS/s sample rate, unit-magnitude phase chips and integer samples per chip.</w:t>
      </w:r>
    </w:p>
    <w:p>
      <w:pPr>
        <w:pStyle w:val="ListBullet"/>
      </w:pPr>
      <w:r>
        <w:t>Transmit, SimulatedSource and RadarProcessor consume the same sampled waveform definition.</w:t>
      </w:r>
    </w:p>
    <w:p>
      <w:pPr>
        <w:pStyle w:val="ListBullet"/>
      </w:pPr>
      <w:r>
        <w:t>Processing gain and code identity use chip count; matched-filter length and pulse duration use expanded sample count.</w:t>
      </w:r>
    </w:p>
    <w:p>
      <w:pPr>
        <w:pStyle w:val="ListBullet"/>
      </w:pPr>
      <w:r>
        <w:t>Mission profiles refer to reusable execution profiles; they do not duplicate or rewrite waveform samples.</w:t>
      </w:r>
    </w:p>
    <w:p>
      <w:pPr>
        <w:pStyle w:val="Heading3"/>
      </w:pPr>
      <w:r>
        <w:t>10.1.3 Operational Golay pair</w:t>
      </w:r>
    </w:p>
    <w:p>
      <w:pPr/>
      <w:r>
        <w:t>Golay64_20MHz is a logical pair identifier resolved by RadarExecutor into strict alternating Golay64A_20MHz then Golay64B_20MHz physical pulses. Every pulse carries pair index and A/B role metadata. A 64-pulse dwell therefore contains 32 complementary pairs. Missing, reordered, disabled or mismatched pair members are rejected before processing.</w:t>
      </w:r>
    </w:p>
    <w:p>
      <w:pPr>
        <w:pStyle w:val="Heading2"/>
      </w:pPr>
      <w:r>
        <w:t>10.2 PulsePlan</w:t>
      </w:r>
    </w:p>
    <w:p>
      <w:r>
        <w:t>PulsePlan supports per-pulse waveform identity, PRI, transmit enable, amplitude, phase, frequency offset, receive delay, receive sample count and grouping metadata. PRI is derived from the selected PRF for the initial uniform-PRI path. This supports future complementary codes, PRI agility and frequency agility without changing the source interface.</w:t>
      </w:r>
    </w:p>
    <w:p>
      <w:pPr>
        <w:pStyle w:val="Heading2"/>
      </w:pPr>
      <w:r>
        <w:t>10.3 DwellPlan and ProcessingPlan</w:t>
      </w:r>
    </w:p>
    <w:p>
      <w:r>
        <w:t>DwellPlan describes one complete radar action, linking task identity, pointing, pulse sequence, attenuation and metadata. ProcessingPlan states how returned pulses are interpreted. The operational Golay path applies separate A and B matched filters, combines each complementary pair, then performs the Doppler FFT across the 32 pair outputs. Uniform single-code processing remains available for Frank and Barker profiles.</w:t>
      </w:r>
    </w:p>
    <w:p>
      <w:pPr>
        <w:pStyle w:val="Heading2"/>
      </w:pPr>
      <w:r>
        <w:t>10.4 Advanced waveform constraints</w:t>
      </w:r>
    </w:p>
    <w:p>
      <w:pPr>
        <w:pStyle w:val="ListBullet"/>
      </w:pPr>
      <w:r>
        <w:t>Golay A/B matched-filter outputs require complementary combination.</w:t>
      </w:r>
    </w:p>
    <w:p>
      <w:pPr>
        <w:pStyle w:val="ListBullet"/>
      </w:pPr>
      <w:r>
        <w:t>Target Doppler between complementary pulses may degrade sidelobe cancellation.</w:t>
      </w:r>
    </w:p>
    <w:p>
      <w:pPr>
        <w:pStyle w:val="ListBullet"/>
      </w:pPr>
      <w:r>
        <w:t>Nonuniform PRI requires actual pulse timestamps and a compatible slow-time algorithm.</w:t>
      </w:r>
    </w:p>
    <w:p>
      <w:pPr>
        <w:pStyle w:val="ListBullet"/>
      </w:pPr>
      <w:r>
        <w:t>Waveform grouping metadata shall identify complementary or burst roles.</w:t>
      </w:r>
    </w:p>
    <w:p>
      <w:pPr>
        <w:pStyle w:val="ListBullet"/>
      </w:pPr>
      <w:r>
        <w:t>The sampled transmit waveform is authoritative and shall be used unchanged by timed transmission, SimulatedSource and RadarProcessor matched filtering.</w:t>
      </w:r>
    </w:p>
    <w:p>
      <w:pPr>
        <w:pStyle w:val="ListBullet"/>
      </w:pPr>
      <w:r>
        <w:t>Ideal phase-code processing gain is calculated from chip count, not from the expanded transmit sample count.</w:t>
      </w:r>
    </w:p>
    <w:p>
      <w:pPr>
        <w:pStyle w:val="Heading1"/>
      </w:pPr>
      <w:r>
        <w:t>11. Signal Processing and Tracking</w:t>
      </w:r>
    </w:p>
    <w:p>
      <w:pPr>
        <w:pStyle w:val="Heading2"/>
      </w:pPr>
      <w:r>
        <w:t>11.1 Processing chain</w:t>
      </w:r>
    </w:p>
    <w:p>
      <w:r>
        <w:t>Raw IQ is pulse-compressed before Doppler processing. For Golay, A and B pulses are compressed separately and summed by complementary pair before the slow-time window and Doppler FFT. For single-code uniform-PRI dwells, the Doppler FFT operates directly across physical pulses. The detector operates on the resulting range-Doppler power map; the tracker forms blobs, initiates tentative tracks, confirms tracks and maintains alpha-beta state estimates.</w:t>
      </w:r>
    </w:p>
    <w:p>
      <w:pPr>
        <w:pStyle w:val="Heading2"/>
      </w:pPr>
      <w:r>
        <w:t>11.2 Separation of concerns</w:t>
      </w:r>
    </w:p>
    <w:p>
      <w:pPr>
        <w:pStyle w:val="ListBullet"/>
      </w:pPr>
      <w:r>
        <w:t>RadarProcessor does not choose search or track.</w:t>
      </w:r>
    </w:p>
    <w:p>
      <w:pPr>
        <w:pStyle w:val="ListBullet"/>
      </w:pPr>
      <w:r>
        <w:t>Detector does not command waveform, TRM or pointing.</w:t>
      </w:r>
    </w:p>
    <w:p>
      <w:pPr>
        <w:pStyle w:val="ListBullet"/>
      </w:pPr>
      <w:r>
        <w:t>Tracker outputs state estimates and RevisitRequest objects.</w:t>
      </w:r>
    </w:p>
    <w:p>
      <w:pPr>
        <w:pStyle w:val="ListBullet"/>
      </w:pPr>
      <w:r>
        <w:t>Scheduler determines resource allocation.</w:t>
      </w:r>
    </w:p>
    <w:p>
      <w:pPr>
        <w:pStyle w:val="Heading2"/>
      </w:pPr>
      <w:r>
        <w:t>11.3 Track coordinates</w:t>
      </w:r>
    </w:p>
    <w:p>
      <w:r>
        <w:t>Tracks should ultimately be maintained in Earth-referenced coordinates. Existing azimuth-only measurements can migrate by attaching true beam bearing and platform attitude to detections while preserving platform-relative values as provenance.</w:t>
      </w:r>
    </w:p>
    <w:p>
      <w:pPr>
        <w:pStyle w:val="Heading1"/>
      </w:pPr>
      <w:r>
        <w:t>12. Deployment and Hardware Control</w:t>
      </w:r>
    </w:p>
    <w:p>
      <w:pPr>
        <w:pStyle w:val="Heading2"/>
      </w:pPr>
      <w:r>
        <w:t>12.1 STM32/TRM interface</w:t>
      </w:r>
    </w:p>
    <w:p>
      <w:r>
        <w:t>The Linux host builds the complete 28-bit TRM word. The STM32 accepts PING, STATUS and WORD commands, shifts D0 first on DATA, presents falling CLOCK edges for sampling and pulses LOAD to latch configuration. This path is slow control and shall not be used for pulse-by-pulse T/R switching.</w:t>
      </w:r>
    </w:p>
    <w:p>
      <w:pPr>
        <w:pStyle w:val="Heading2"/>
      </w:pPr>
      <w:r>
        <w:t>12.2 Ettus role</w:t>
      </w:r>
    </w:p>
    <w:p>
      <w:r>
        <w:t>The Ettus B200mini executes finite hardware-timed transmit bursts and receive windows on one SDR clock. Timed TX/RX, 8-sample pre-roll, depth-20 queueing, ATR polarity/idle behaviour and protected cable loopback have been validated in guarded profiles. No-profile application startup remains receive-only. ATR-enabled diagnostic profiles require explicit RF, loopback, TRM/PA-disconnected and CRO-verification confirmations.</w:t>
      </w:r>
    </w:p>
    <w:p>
      <w:pPr>
        <w:pStyle w:val="Heading2"/>
      </w:pPr>
      <w:r>
        <w:t>12.3 Pointing and navigation</w:t>
      </w:r>
    </w:p>
    <w:p>
      <w:r>
        <w:t>The controller interface provides simulated, telemetry-only SocketCAN and guarded operational SocketCAN implementations for the X6-60. Legacy class or module names may still contain PTZ, but the installed pointing hardware is the QAN X6-60 motor/positioning unit. NavigationState currently supplies simulated attitude and can later be replaced by an IMU/GPS/INS adapter without changing scheduler or pointing interfaces.</w:t>
      </w:r>
    </w:p>
    <w:p>
      <w:pPr>
        <w:pStyle w:val="Heading2"/>
      </w:pPr>
      <w:r>
        <w:t>12.4 SocketCAN deployment boundary</w:t>
      </w:r>
    </w:p>
    <w:p>
      <w:pPr/>
      <w:r>
        <w:t>Linux owns discovery and configuration of the USB-CAN adapter. Vanguard X checks that can0 exists, is UP and reports 1 Mbit/s; it does not invoke privileged ip-link configuration. Closing Vanguard X stops/holds the motor through the controller and releases the CAN bus object, but does not bring can0 down. A PC restart, USB adapter reset or reconnection may therefore require can0 to be configured again unless the host is later configured to do so automatically.</w:t>
      </w:r>
    </w:p>
    <w:p>
      <w:pPr>
        <w:pStyle w:val="Heading1"/>
      </w:pPr>
      <w:r>
        <w:t>13. SDR Execution Architecture</w:t>
      </w:r>
    </w:p>
    <w:p>
      <w:pPr>
        <w:pStyle w:val="Heading2"/>
      </w:pPr>
      <w:r>
        <w:t>13.1 Purpose and boundary</w:t>
      </w:r>
    </w:p>
    <w:p>
      <w:r>
        <w:t>This chapter defines deterministic SDR execution. RadarExecutor owns task-to-dwell translation; EttusRadarSource owns conversion of that DwellPlan into timed UHD receive commands and return of RawDwellData. The scheduler is intentionally unaware of UHD streamers, hardware timestamps and USB transport details.</w:t>
      </w:r>
    </w:p>
    <w:p>
      <w:pPr>
        <w:jc w:val="center"/>
      </w:pPr>
      <w:r>
        <w:drawing>
          <wp:inline xmlns:a="http://schemas.openxmlformats.org/drawingml/2006/main" xmlns:pic="http://schemas.openxmlformats.org/drawingml/2006/picture">
            <wp:extent cx="6766560" cy="3258293"/>
            <wp:docPr id="5" name="Picture 5"/>
            <wp:cNvGraphicFramePr>
              <a:graphicFrameLocks noChangeAspect="1"/>
            </wp:cNvGraphicFramePr>
            <a:graphic>
              <a:graphicData uri="http://schemas.openxmlformats.org/drawingml/2006/picture">
                <pic:pic>
                  <pic:nvPicPr>
                    <pic:cNvPr id="0" name="fig5_sdr_timing.png"/>
                    <pic:cNvPicPr/>
                  </pic:nvPicPr>
                  <pic:blipFill>
                    <a:blip r:embed="rId15"/>
                    <a:stretch>
                      <a:fillRect/>
                    </a:stretch>
                  </pic:blipFill>
                  <pic:spPr>
                    <a:xfrm>
                      <a:off x="0" y="0"/>
                      <a:ext cx="6766560" cy="3258293"/>
                    </a:xfrm>
                    <a:prstGeom prst="rect"/>
                  </pic:spPr>
                </pic:pic>
              </a:graphicData>
            </a:graphic>
          </wp:inline>
        </w:drawing>
      </w:r>
    </w:p>
    <w:p>
      <w:pPr>
        <w:jc w:val="center"/>
      </w:pPr>
      <w:r>
        <w:t>Figure 7. Hardware-timed PRI, transmit, guard and receive-window model.</w:t>
      </w:r>
    </w:p>
    <w:p>
      <w:pPr>
        <w:jc w:val="center"/>
      </w:pPr>
      <w:r>
        <w:drawing>
          <wp:inline xmlns:a="http://schemas.openxmlformats.org/drawingml/2006/main" xmlns:pic="http://schemas.openxmlformats.org/drawingml/2006/picture">
            <wp:extent cx="5989320" cy="1968140"/>
            <wp:docPr id="8" name="Picture 8"/>
            <wp:cNvGraphicFramePr>
              <a:graphicFrameLocks noChangeAspect="1"/>
            </wp:cNvGraphicFramePr>
            <a:graphic>
              <a:graphicData uri="http://schemas.openxmlformats.org/drawingml/2006/picture">
                <pic:pic>
                  <pic:nvPicPr>
                    <pic:cNvPr id="0" name="post_cpi_processing_sequence.png"/>
                    <pic:cNvPicPr/>
                  </pic:nvPicPr>
                  <pic:blipFill>
                    <a:blip r:embed="rId22"/>
                    <a:stretch>
                      <a:fillRect/>
                    </a:stretch>
                  </pic:blipFill>
                  <pic:spPr>
                    <a:xfrm>
                      <a:off x="0" y="0"/>
                      <a:ext cx="5989320" cy="1968140"/>
                    </a:xfrm>
                    <a:prstGeom prst="rect"/>
                  </pic:spPr>
                </pic:pic>
              </a:graphicData>
            </a:graphic>
          </wp:inline>
        </w:drawing>
      </w:r>
    </w:p>
    <w:p>
      <w:pPr>
        <w:jc w:val="center"/>
      </w:pPr>
      <w:r>
        <w:t>Figure 8. Complete-CPI acquisition followed by post-CPI signal processing.</w:t>
      </w:r>
    </w:p>
    <w:p>
      <w:pPr>
        <w:pStyle w:val="Heading2"/>
      </w:pPr>
      <w:r>
        <w:t>13.2 Time domains</w:t>
      </w:r>
    </w:p>
    <w:tbl>
      <w:tblPr>
        <w:tblStyle w:val="TableGrid"/>
        <w:tblW w:type="auto" w:w="0"/>
        <w:jc w:val="center"/>
        <w:tblLook w:firstColumn="1" w:firstRow="1" w:lastColumn="0" w:lastRow="0" w:noHBand="0" w:noVBand="1" w:val="04A0"/>
      </w:tblPr>
      <w:tblGrid>
        <w:gridCol w:w="3360"/>
        <w:gridCol w:w="3360"/>
        <w:gridCol w:w="3360"/>
      </w:tblGrid>
      <w:tr>
        <w:trPr>
          <w:tblHeader/>
          <w:cantSplit/>
        </w:trPr>
        <w:tc>
          <w:tcPr>
            <w:tcW w:type="dxa" w:w="3360"/>
            <w:shd w:fill="1F4E79"/>
          </w:tcPr>
          <w:p>
            <w:r>
              <w:rPr>
                <w:b/>
                <w:color w:val="FFFFFF"/>
              </w:rPr>
              <w:t>Time domain</w:t>
            </w:r>
          </w:p>
        </w:tc>
        <w:tc>
          <w:tcPr>
            <w:tcW w:type="dxa" w:w="3360"/>
            <w:shd w:fill="1F4E79"/>
          </w:tcPr>
          <w:p>
            <w:r>
              <w:rPr>
                <w:b/>
                <w:color w:val="FFFFFF"/>
              </w:rPr>
              <w:t>Owner</w:t>
            </w:r>
          </w:p>
        </w:tc>
        <w:tc>
          <w:tcPr>
            <w:tcW w:type="dxa" w:w="3360"/>
            <w:shd w:fill="1F4E79"/>
          </w:tcPr>
          <w:p>
            <w:r>
              <w:rPr>
                <w:b/>
                <w:color w:val="FFFFFF"/>
              </w:rPr>
              <w:t>Use</w:t>
            </w:r>
          </w:p>
        </w:tc>
      </w:tr>
      <w:tr>
        <w:trPr>
          <w:cantSplit/>
        </w:trPr>
        <w:tc>
          <w:tcPr>
            <w:tcW w:type="dxa" w:w="3360"/>
          </w:tcPr>
          <w:p>
            <w:r>
              <w:t>Wall time</w:t>
            </w:r>
          </w:p>
        </w:tc>
        <w:tc>
          <w:tcPr>
            <w:tcW w:type="dxa" w:w="3360"/>
          </w:tcPr>
          <w:p>
            <w:r>
              <w:t>Linux host</w:t>
            </w:r>
          </w:p>
        </w:tc>
        <w:tc>
          <w:tcPr>
            <w:tcW w:type="dxa" w:w="3360"/>
          </w:tcPr>
          <w:p>
            <w:r>
              <w:t>Logging, scheduler cadence and operator status.</w:t>
            </w:r>
          </w:p>
        </w:tc>
      </w:tr>
      <w:tr>
        <w:trPr>
          <w:cantSplit/>
        </w:trPr>
        <w:tc>
          <w:tcPr>
            <w:tcW w:type="dxa" w:w="3360"/>
          </w:tcPr>
          <w:p>
            <w:r>
              <w:t>Python monotonic time</w:t>
            </w:r>
          </w:p>
        </w:tc>
        <w:tc>
          <w:tcPr>
            <w:tcW w:type="dxa" w:w="3360"/>
          </w:tcPr>
          <w:p>
            <w:r>
              <w:t>Application</w:t>
            </w:r>
          </w:p>
        </w:tc>
        <w:tc>
          <w:tcPr>
            <w:tcW w:type="dxa" w:w="3360"/>
          </w:tcPr>
          <w:p>
            <w:r>
              <w:t>Performance measurement and host-side timeout control.</w:t>
            </w:r>
          </w:p>
        </w:tc>
      </w:tr>
      <w:tr>
        <w:trPr>
          <w:cantSplit/>
        </w:trPr>
        <w:tc>
          <w:tcPr>
            <w:tcW w:type="dxa" w:w="3360"/>
          </w:tcPr>
          <w:p>
            <w:r>
              <w:t>SDR hardware time</w:t>
            </w:r>
          </w:p>
        </w:tc>
        <w:tc>
          <w:tcPr>
            <w:tcW w:type="dxa" w:w="3360"/>
          </w:tcPr>
          <w:p>
            <w:r>
              <w:t>Ettus FPGA/driver</w:t>
            </w:r>
          </w:p>
        </w:tc>
        <w:tc>
          <w:tcPr>
            <w:tcW w:type="dxa" w:w="3360"/>
          </w:tcPr>
          <w:p>
            <w:r>
              <w:t>Deterministic timed command execution.</w:t>
            </w:r>
          </w:p>
        </w:tc>
      </w:tr>
      <w:tr>
        <w:trPr>
          <w:cantSplit/>
        </w:trPr>
        <w:tc>
          <w:tcPr>
            <w:tcW w:type="dxa" w:w="3360"/>
          </w:tcPr>
          <w:p>
            <w:r>
              <w:t>PRI-relative time</w:t>
            </w:r>
          </w:p>
        </w:tc>
        <w:tc>
          <w:tcPr>
            <w:tcW w:type="dxa" w:w="3360"/>
          </w:tcPr>
          <w:p>
            <w:r>
              <w:t>DwellPlan</w:t>
            </w:r>
          </w:p>
        </w:tc>
        <w:tc>
          <w:tcPr>
            <w:tcW w:type="dxa" w:w="3360"/>
          </w:tcPr>
          <w:p>
            <w:r>
              <w:t>Pulse and receive-window offsets from Tpri1.</w:t>
            </w:r>
          </w:p>
        </w:tc>
      </w:tr>
      <w:tr>
        <w:trPr>
          <w:cantSplit/>
        </w:trPr>
        <w:tc>
          <w:tcPr>
            <w:tcW w:type="dxa" w:w="3360"/>
          </w:tcPr>
          <w:p>
            <w:r>
              <w:t>CPI time</w:t>
            </w:r>
          </w:p>
        </w:tc>
        <w:tc>
          <w:tcPr>
            <w:tcW w:type="dxa" w:w="3360"/>
          </w:tcPr>
          <w:p>
            <w:r>
              <w:t>Radar execution</w:t>
            </w:r>
          </w:p>
        </w:tc>
        <w:tc>
          <w:tcPr>
            <w:tcW w:type="dxa" w:w="3360"/>
          </w:tcPr>
          <w:p>
            <w:r>
              <w:t>Interval covering the pulse train and associated receive windows.</w:t>
            </w:r>
          </w:p>
        </w:tc>
      </w:tr>
      <w:tr>
        <w:trPr>
          <w:cantSplit/>
        </w:trPr>
        <w:tc>
          <w:tcPr>
            <w:tcW w:type="dxa" w:w="3360"/>
          </w:tcPr>
          <w:p>
            <w:r>
              <w:t>Dwell time</w:t>
            </w:r>
          </w:p>
        </w:tc>
        <w:tc>
          <w:tcPr>
            <w:tcW w:type="dxa" w:w="3360"/>
          </w:tcPr>
          <w:p>
            <w:r>
              <w:t>RadarExecutor</w:t>
            </w:r>
          </w:p>
        </w:tc>
        <w:tc>
          <w:tcPr>
            <w:tcW w:type="dxa" w:w="3360"/>
          </w:tcPr>
          <w:p>
            <w:r>
              <w:t>Pointing readiness, SDR execution and return of execution metadata.</w:t>
            </w:r>
          </w:p>
        </w:tc>
      </w:tr>
    </w:tbl>
    <w:p>
      <w:pPr>
        <w:pStyle w:val="Heading2"/>
      </w:pPr>
      <w:r>
        <w:t>13.3 Hardware start time</w:t>
      </w:r>
    </w:p>
    <w:p>
      <w:r>
        <w:t>For each dwell, EttusRadarSource reads the current SDR hardware time and establishes Tpri1 by adding EttusCommandLeadTimeSec. The lead time is a host-to-SDR scheduling margin. It is not a PRI, receiver delay or radar guard interval.</w:t>
      </w:r>
    </w:p>
    <w:p>
      <w:pPr>
        <w:pStyle w:val="Heading2"/>
      </w:pPr>
      <w:r>
        <w:t>13.4 Bounded finite per-PRI execution</w:t>
      </w:r>
    </w:p>
    <w:p>
      <w:pPr>
        <w:pStyle w:val="ListBullet"/>
      </w:pPr>
      <w:r>
        <w:t>Warm the receive path once, then determine one future hardware start time for the dwell.</w:t>
      </w:r>
    </w:p>
    <w:p>
      <w:pPr>
        <w:pStyle w:val="ListBullet"/>
      </w:pPr>
      <w:r>
        <w:t>Calculate every TX and RX time from Tpri1 plus fixed PulsePlan offsets; do not query hardware time inside the PRI loop.</w:t>
      </w:r>
    </w:p>
    <w:p>
      <w:pPr>
        <w:pStyle w:val="ListBullet"/>
      </w:pPr>
      <w:r>
        <w:t>Prime a bounded queue of finite individual PRI operations and replenish one pair immediately after the oldest RX window is collected.</w:t>
      </w:r>
    </w:p>
    <w:p>
      <w:pPr>
        <w:pStyle w:val="ListBullet"/>
      </w:pPr>
      <w:r>
        <w:t>Check every TX send count and asynchronous event, and collect RX samples into an array shaped (NumPulses, NumSamples).</w:t>
      </w:r>
    </w:p>
    <w:p>
      <w:pPr>
        <w:pStyle w:val="ListBullet"/>
      </w:pPr>
      <w:r>
        <w:t>Record TX acknowledgements, late/time events, underflows, RX metadata errors, timestamps, received-sample counts and validity diagnostics.</w:t>
      </w:r>
    </w:p>
    <w:p>
      <w:pPr>
        <w:pStyle w:val="ListBullet"/>
      </w:pPr>
      <w:r>
        <w:t>Complete the CPI before matched filtering or other signal processing, then return RawDwellData through RadarExecutor.</w:t>
      </w:r>
    </w:p>
    <w:p>
      <w:pPr>
        <w:pStyle w:val="Heading2"/>
      </w:pPr>
      <w:r>
        <w:t>13.5 Command lead time rule</w:t>
      </w:r>
    </w:p>
    <w:p>
      <w:r>
        <w:t>Command lead time shall be applied once per dwell. Subsequent pulse or receive-window times are calculated from Tpri1 + n x PRI or from explicit PulsePlan offsets. Applying lead time separately to each PRI would incorrectly stretch the CPI and couple radar timing to host command latency.</w:t>
      </w:r>
    </w:p>
    <w:p>
      <w:pPr>
        <w:pStyle w:val="Heading2"/>
      </w:pPr>
      <w:r>
        <w:t>13.6 Observed hardware validation</w:t>
      </w:r>
    </w:p>
    <w:p>
      <w:r>
        <w:t>Receive-only and timed-pair hardware tests use the fixed 40 MS/s clock, 4,043 receive samples per physical pulse, a 5 ms command lead and bounded future queue. The depth-20 stress test passed 10/10 dwells at 4 kHz and 128 pulses with complete 517,504-sample receive arrays, all transmit sends and acknowledgements, and no reported transport faults. The operational Golay profile uses the same 4 kHz physical PRF and depth-20 queue with 64 pulses, reducing the CPI from the stress-test 32 ms to 16 ms.</w:t>
      </w:r>
    </w:p>
    <w:tbl>
      <w:tblPr>
        <w:tblStyle w:val="TableGrid"/>
        <w:tblW w:type="auto" w:w="0"/>
        <w:jc w:val="center"/>
        <w:tblLook w:firstColumn="1" w:firstRow="1" w:lastColumn="0" w:lastRow="0" w:noHBand="0" w:noVBand="1" w:val="04A0"/>
      </w:tblPr>
      <w:tblGrid>
        <w:gridCol w:w="3360"/>
        <w:gridCol w:w="3360"/>
        <w:gridCol w:w="3360"/>
      </w:tblGrid>
      <w:tr>
        <w:trPr>
          <w:tblHeader/>
          <w:cantSplit/>
        </w:trPr>
        <w:tc>
          <w:tcPr>
            <w:tcW w:type="dxa" w:w="3360"/>
            <w:shd w:fill="1F4E79"/>
          </w:tcPr>
          <w:p>
            <w:r>
              <w:rPr>
                <w:b/>
                <w:color w:val="FFFFFF"/>
              </w:rPr>
              <w:t>Metric</w:t>
            </w:r>
          </w:p>
        </w:tc>
        <w:tc>
          <w:tcPr>
            <w:tcW w:type="dxa" w:w="3360"/>
            <w:shd w:fill="1F4E79"/>
          </w:tcPr>
          <w:p>
            <w:r>
              <w:rPr>
                <w:b/>
                <w:color w:val="FFFFFF"/>
              </w:rPr>
              <w:t>Observed baseline</w:t>
            </w:r>
          </w:p>
        </w:tc>
        <w:tc>
          <w:tcPr>
            <w:tcW w:type="dxa" w:w="3360"/>
            <w:shd w:fill="1F4E79"/>
          </w:tcPr>
          <w:p>
            <w:r>
              <w:rPr>
                <w:b/>
                <w:color w:val="FFFFFF"/>
              </w:rPr>
              <w:t>Interpretation</w:t>
            </w:r>
          </w:p>
        </w:tc>
      </w:tr>
      <w:tr>
        <w:trPr>
          <w:cantSplit/>
        </w:trPr>
        <w:tc>
          <w:tcPr>
            <w:tcW w:type="dxa" w:w="3360"/>
          </w:tcPr>
          <w:p>
            <w:r>
              <w:t>Scheduler wall interval</w:t>
            </w:r>
          </w:p>
        </w:tc>
        <w:tc>
          <w:tcPr>
            <w:tcW w:type="dxa" w:w="3360"/>
          </w:tcPr>
          <w:p>
            <w:r>
              <w:t>100-102 ms</w:t>
            </w:r>
          </w:p>
        </w:tc>
        <w:tc>
          <w:tcPr>
            <w:tcW w:type="dxa" w:w="3360"/>
          </w:tcPr>
          <w:p>
            <w:r>
              <w:t>Approximately 10 accepted dwells per second.</w:t>
            </w:r>
          </w:p>
        </w:tc>
      </w:tr>
      <w:tr>
        <w:trPr>
          <w:cantSplit/>
        </w:trPr>
        <w:tc>
          <w:tcPr>
            <w:tcW w:type="dxa" w:w="3360"/>
          </w:tcPr>
          <w:p>
            <w:r>
              <w:t>Ettus collection</w:t>
            </w:r>
          </w:p>
        </w:tc>
        <w:tc>
          <w:tcPr>
            <w:tcW w:type="dxa" w:w="3360"/>
          </w:tcPr>
          <w:p>
            <w:r>
              <w:t>21.6-23.3 ms measured at 4 kHz/64 Golay; 36.963-37.016 ms at 4 kHz/128 stress</w:t>
            </w:r>
          </w:p>
        </w:tc>
        <w:tc>
          <w:tcPr>
            <w:tcW w:type="dxa" w:w="3360"/>
          </w:tcPr>
          <w:p>
            <w:r>
              <w:t>Includes one 5 ms lead, CPI, final RX completion and transport/ACK overhead.</w:t>
            </w:r>
          </w:p>
        </w:tc>
      </w:tr>
      <w:tr>
        <w:trPr>
          <w:cantSplit/>
        </w:trPr>
        <w:tc>
          <w:tcPr>
            <w:tcW w:type="dxa" w:w="3360"/>
          </w:tcPr>
          <w:p>
            <w:r>
              <w:t>Processing</w:t>
            </w:r>
          </w:p>
        </w:tc>
        <w:tc>
          <w:tcPr>
            <w:tcW w:type="dxa" w:w="3360"/>
          </w:tcPr>
          <w:p>
            <w:r>
              <w:t>Approximately 9-20 ms observed</w:t>
            </w:r>
          </w:p>
        </w:tc>
        <w:tc>
          <w:tcPr>
            <w:tcW w:type="dxa" w:w="3360"/>
          </w:tcPr>
          <w:p>
            <w:r>
              <w:t>Golay A/B compression, complementary combination and Doppler processing.</w:t>
            </w:r>
          </w:p>
        </w:tc>
      </w:tr>
      <w:tr>
        <w:trPr>
          <w:cantSplit/>
        </w:trPr>
        <w:tc>
          <w:tcPr>
            <w:tcW w:type="dxa" w:w="3360"/>
          </w:tcPr>
          <w:p>
            <w:r>
              <w:t>Detect + Track</w:t>
            </w:r>
          </w:p>
        </w:tc>
        <w:tc>
          <w:tcPr>
            <w:tcW w:type="dxa" w:w="3360"/>
          </w:tcPr>
          <w:p>
            <w:r>
              <w:t>Approximately 2.7-4.7 ms observed</w:t>
            </w:r>
          </w:p>
        </w:tc>
        <w:tc>
          <w:tcPr>
            <w:tcW w:type="dxa" w:w="3360"/>
          </w:tcPr>
          <w:p>
            <w:r>
              <w:t>Current low-detection hardware runs.</w:t>
            </w:r>
          </w:p>
        </w:tc>
      </w:tr>
      <w:tr>
        <w:trPr>
          <w:cantSplit/>
        </w:trPr>
        <w:tc>
          <w:tcPr>
            <w:tcW w:type="dxa" w:w="3360"/>
          </w:tcPr>
          <w:p>
            <w:r>
              <w:t>Display</w:t>
            </w:r>
          </w:p>
        </w:tc>
        <w:tc>
          <w:tcPr>
            <w:tcW w:type="dxa" w:w="3360"/>
          </w:tcPr>
          <w:p>
            <w:r>
              <w:t>Approximately 6-11 ms observed</w:t>
            </w:r>
          </w:p>
        </w:tc>
        <w:tc>
          <w:tcPr>
            <w:tcW w:type="dxa" w:w="3360"/>
          </w:tcPr>
          <w:p>
            <w:r>
              <w:t>Qt PPI and range-profile update.</w:t>
            </w:r>
          </w:p>
        </w:tc>
      </w:tr>
      <w:tr>
        <w:trPr>
          <w:cantSplit/>
        </w:trPr>
        <w:tc>
          <w:tcPr>
            <w:tcW w:type="dxa" w:w="3360"/>
          </w:tcPr>
          <w:p>
            <w:r>
              <w:t>Total active dwell</w:t>
            </w:r>
          </w:p>
        </w:tc>
        <w:tc>
          <w:tcPr>
            <w:tcW w:type="dxa" w:w="3360"/>
          </w:tcPr>
          <w:p>
            <w:r>
              <w:t>Approximately 39-53 ms observed</w:t>
            </w:r>
          </w:p>
        </w:tc>
        <w:tc>
          <w:tcPr>
            <w:tcW w:type="dxa" w:w="3360"/>
          </w:tcPr>
          <w:p>
            <w:r>
              <w:t>Fits the verified 100 ms cadence; 50 ms requires further profiling before acceptance.</w:t>
            </w:r>
          </w:p>
        </w:tc>
      </w:tr>
    </w:tbl>
    <w:p>
      <w:pPr>
        <w:pStyle w:val="Heading2"/>
      </w:pPr>
      <w:r>
        <w:t>13.7 State machine</w:t>
      </w:r>
    </w:p>
    <w:p>
      <w:pPr>
        <w:jc w:val="center"/>
      </w:pPr>
      <w:r>
        <w:drawing>
          <wp:inline xmlns:a="http://schemas.openxmlformats.org/drawingml/2006/main" xmlns:pic="http://schemas.openxmlformats.org/drawingml/2006/picture">
            <wp:extent cx="6126480" cy="3853371"/>
            <wp:docPr id="6" name="Picture 6"/>
            <wp:cNvGraphicFramePr>
              <a:graphicFrameLocks noChangeAspect="1"/>
            </wp:cNvGraphicFramePr>
            <a:graphic>
              <a:graphicData uri="http://schemas.openxmlformats.org/drawingml/2006/picture">
                <pic:pic>
                  <pic:nvPicPr>
                    <pic:cNvPr id="0" name="fig6_state_machine.png"/>
                    <pic:cNvPicPr/>
                  </pic:nvPicPr>
                  <pic:blipFill>
                    <a:blip r:embed="rId16"/>
                    <a:stretch>
                      <a:fillRect/>
                    </a:stretch>
                  </pic:blipFill>
                  <pic:spPr>
                    <a:xfrm>
                      <a:off x="0" y="0"/>
                      <a:ext cx="6126480" cy="3853371"/>
                    </a:xfrm>
                    <a:prstGeom prst="rect"/>
                  </pic:spPr>
                </pic:pic>
              </a:graphicData>
            </a:graphic>
          </wp:inline>
        </w:drawing>
      </w:r>
    </w:p>
    <w:p>
      <w:pPr>
        <w:jc w:val="center"/>
      </w:pPr>
      <w:r>
        <w:t>Figure 9. EttusRadarSource execution state machine.</w:t>
      </w:r>
    </w:p>
    <w:p>
      <w:pPr>
        <w:pStyle w:val="Heading2"/>
      </w:pPr>
      <w:r>
        <w:t>13.8 Timed transmit and receive pairing</w:t>
      </w:r>
    </w:p>
    <w:p>
      <w:r>
        <w:t>Timed transmit reuses Tpri1 and the fixed 40 MS/s hardware clock. Each pulse uses the authoritative sampled waveform from WaveformLibrary and explicit start/end-of-burst metadata. The host maintains a bounded horizon of finite pulse-specific operations rather than queuing an unbounded dwell or using continuous receive. Queue replenishment occurs before copying, diagnostic formatting or processing can consume the scheduling horizon. Operationally, TX occurs at Ttx[n] and RX begins only after TX is inactive and the configured guard has elapsed.</w:t>
      </w:r>
    </w:p>
    <w:p>
      <w:pPr>
        <w:pStyle w:val="Heading2"/>
      </w:pPr>
      <w:r>
        <w:t>13.9 Protected loopback evidence</w:t>
      </w:r>
    </w:p>
    <w:p>
      <w:pPr/>
      <w:r>
        <w:t>The non-operational cable-loopback test connected TX/RX through 30 dB attenuation to RX2, with TX gain 50 dB and RX gain 30 dB. RX opened at T and the 5 microsecond Frank10_20MHz pulse was scheduled at T + 10 microseconds so it could be observed directly. At 4 kHz and 128 pulses, the matched-filter peak was 31.56-47.69 dB above the estimated floor and locked on every pulse. The measured diagnostic-path delay was 166 samples (4.15 microseconds), with the physical response at sample 566. This value is test-path calibration evidence, not yet an operational range correction.</w:t>
      </w:r>
    </w:p>
    <w:p>
      <w:pPr>
        <w:pStyle w:val="Heading2"/>
      </w:pPr>
      <w:r>
        <w:t>13.10 SDR design rules</w:t>
      </w:r>
    </w:p>
    <w:p>
      <w:pPr>
        <w:pStyle w:val="ListBullet"/>
      </w:pPr>
      <w:r>
        <w:t>Never use Python sleep timing for individual radar pulses.</w:t>
      </w:r>
    </w:p>
    <w:p>
      <w:pPr>
        <w:pStyle w:val="ListBullet"/>
      </w:pPr>
      <w:r>
        <w:t>Hardware timestamps own PRI execution.</w:t>
      </w:r>
    </w:p>
    <w:p>
      <w:pPr>
        <w:pStyle w:val="ListBullet"/>
      </w:pPr>
      <w:r>
        <w:t>Maintain a bounded future command horizon and replenish immediately after collection of the oldest RX window.</w:t>
      </w:r>
    </w:p>
    <w:p>
      <w:pPr>
        <w:pStyle w:val="ListBullet"/>
      </w:pPr>
      <w:r>
        <w:t>Perform pulse compression and all other CPI processing only after the complete dwell has been captured.</w:t>
      </w:r>
    </w:p>
    <w:p>
      <w:pPr>
        <w:pStyle w:val="ListBullet"/>
      </w:pPr>
      <w:r>
        <w:t>Preserve actual hardware timestamps and receive validity metadata.</w:t>
      </w:r>
    </w:p>
    <w:p>
      <w:pPr>
        <w:pStyle w:val="ListBullet"/>
      </w:pPr>
      <w:r>
        <w:t>Keep receive-only as the fail-closed no-profile application mode; timed TX and ATR are enabled only by explicit guarded operating profiles.</w:t>
      </w:r>
    </w:p>
    <w:p>
      <w:pPr>
        <w:pStyle w:val="ListBullet"/>
      </w:pPr>
      <w:r>
        <w:t>Treat late commands, overflows and timeouts as explicit execution faults.</w:t>
      </w:r>
    </w:p>
    <w:p>
      <w:pPr>
        <w:pStyle w:val="ListBullet"/>
      </w:pPr>
      <w:r>
        <w:t>Derive PRI from the validated operator-selected PRF; do not expose independent PRF and PRI settings.</w:t>
      </w:r>
    </w:p>
    <w:p>
      <w:pPr>
        <w:pStyle w:val="ListBullet"/>
      </w:pPr>
      <w:r>
        <w:t>Reject a PRF when its derived PRI is shorter than the timing-derived minimum PRI.</w:t>
      </w:r>
    </w:p>
    <w:p>
      <w:pPr>
        <w:pStyle w:val="Heading2"/>
      </w:pPr>
      <w:r>
        <w:t>13.11 Guarded operating profiles</w:t>
      </w:r>
    </w:p>
    <w:p>
      <w:pPr/>
      <w:r>
        <w:t>The operational application separates capability from authorisation. Receive-only startup exposes no timed transmit or ATR capability. Guarded loopback profiles enable timed TX/RX only after explicit acknowledgements of RF output, the TX/RX-to-RX2 attenuated cable path and external-hardware state. ATR-enabled diagnostic profiles additionally require confirmation of the CRO-verified mapping. Any profile that intentionally overlaps ATR states is simulation/diagnostic-only and shall never be connected to the TRM or PA.</w:t>
      </w:r>
    </w:p>
    <w:p>
      <w:pPr>
        <w:pStyle w:val="Heading1"/>
      </w:pPr>
      <w:r>
        <w:t>14. Timing Architecture</w:t>
      </w:r>
    </w:p>
    <w:p>
      <w:pPr>
        <w:pStyle w:val="Heading2"/>
      </w:pPr>
      <w:r>
        <w:t>14.1 Dwell timing</w:t>
      </w:r>
    </w:p>
    <w:p>
      <w:r>
        <w:t>A dwell consists of pointing-state acquisition, optional TRM state verification, SDR timed execution, raw-data return and downstream processing. Pointing and SDR time shall be recorded for provenance. Host scheduler cadence is distinct from PRI and CPI timing. For the uniform-PRI path, nominal CPI duration is Npulses x PRI, equivalently Npulses / PRF.</w:t>
      </w:r>
    </w:p>
    <w:p>
      <w:pPr/>
      <w:r>
        <w:t>The configured operational search and track profile is Golay64_20MHz at 4.0 kHz physical PRF, 250 microsecond physical PRI and 64 physical A/B pulses, giving a nominal 16.000 ms CPI and 32 complementary pair outputs. After A+B combination, slow-time samples are spaced by 500 microseconds and the effective pair rate is 2.0 kHz. The main scheduler interval remains 100 ms, so accepted dwell starts occur at approximately 10 Hz. Console WallDt is the host interval between accepted starts, not CPI duration.</w:t>
      </w:r>
    </w:p>
    <w:p>
      <w:pPr/>
      <w:r>
        <w:t>The console Collect value is the blocking duration of source execution. It includes the 5 ms command lead, pulse train, final receive window and UHD transport/acknowledgement overhead. Recent 4 kHz/64-pulse Golay receive-only runs measured approximately 21.6-23.3 ms collection. The lead is applied once per dwell and cancels from differences between consecutive SDR CPI start times; it does not change the 100 ms scheduler cadence.</w:t>
      </w:r>
    </w:p>
    <w:p>
      <w:pPr>
        <w:pStyle w:val="Heading2"/>
      </w:pPr>
      <w:r>
        <w:t>14.2 Receive timing</w:t>
      </w:r>
    </w:p>
    <w:p>
      <w:r>
        <w:t>Receive start time is derived from the physical waveform and transport envelope. For Golay64_20MHz, the eight-sample pre-roll lasts 0.200 us, each A or B code lasts 3.200 us, and TX ATR therefore spans 3.400 us. With the provisional 1.000 us receiver-recovery value, RX begins 4.400 us after the physical PRI origin. The first non-zero RF sample at 0.200 us is the range origin. The 1 us recovery value is consistent with the isolated B200mini guard evidence but remains provisional for the TRM/receiver chain.</w:t>
      </w:r>
    </w:p>
    <w:p>
      <w:pPr/>
      <w:r>
        <w:t>For the 15.000 km instrumented range, receive end time includes round-trip delay, the 3.200 us physical Golay member and 2.000 us end margin. Rounding up at 40 MS/s produces 4,043 complex samples, a 101.075 us capture and an actual receive end 105.475 us after PRI origin. Adding the 2.000 us next-TX guard gives a 107.475 us timing-derived minimum PRI, comfortably below the selected 250 us PRI.</w:t>
      </w:r>
    </w:p>
    <w:p>
      <w:pPr/>
      <w:r>
        <w:t>When capture starts after transmission, received sample zero represents a non-zero range. For the Golay baseline, RX begins 4.200 us after the first non-zero RF sample, corresponding to approximately 629.6 m. RawDwellData carries the receive-window start delay and RadarProcessor applies the range offset. The separate 166-sample protected loopback delay is diagnostic-path calibration and shall not be applied as a universal operational range correction.</w:t>
      </w:r>
    </w:p>
    <w:p>
      <w:pPr>
        <w:pStyle w:val="Heading2"/>
      </w:pPr>
      <w:r>
        <w:t>14.3 PRI agility</w:t>
      </w:r>
    </w:p>
    <w:p>
      <w:r>
        <w:t>Uniform physical PRI remains the operational hardware path. The operator selects physical PRF from 1.0 to 4.0 kHz; Golay requires a positive even pulse count and currently defaults to 4.0 kHz/64 pulses. Software derives physical PRI and CPI duration. Staggered and jittered PRI require actual pulse timestamps and a compatible nonuniform slow-time processor.</w:t>
      </w:r>
    </w:p>
    <w:p>
      <w:pPr/>
      <w:r>
        <w:t>The UI shall distinguish physical PRF/PRI and pulse count from effective Golay pair rate/spacing and pair count. Doppler axes for the operational Golay processor use the 500 us pair spacing, yielding an approximate +/-15.95 m/s unambiguous radial-velocity interval at 9.4 GHz and about 1.00 m/s bin spacing for the 16 ms CPI.</w:t>
      </w:r>
    </w:p>
    <w:p>
      <w:pPr/>
      <w:r>
        <w:t>The execution layer validates every selection independently of the UI. Accepted physical PRF remains within 1-4 kHz and the derived PRI shall not be shorter than maximum-range echo completion plus configured margins and next-transmit guard. Golay plans additionally reject odd pulse counts, missing or reordered pairs and inconsistent A/B timing.</w:t>
      </w:r>
    </w:p>
    <w:p>
      <w:pPr>
        <w:pStyle w:val="Heading2"/>
      </w:pPr>
      <w:r>
        <w:t>14.4 Timing budget</w:t>
      </w:r>
    </w:p>
    <w:tbl>
      <w:tblPr>
        <w:tblStyle w:val="TableGrid"/>
        <w:tblW w:type="dxa" w:w="10080"/>
        <w:jc w:val="center"/>
        <w:tblLayout w:type="fixed"/>
        <w:tblLook w:firstColumn="1" w:firstRow="1" w:lastColumn="0" w:lastRow="0" w:noHBand="0" w:noVBand="1" w:val="04A0"/>
      </w:tblPr>
      <w:tblGrid>
        <w:gridCol w:w="2600"/>
        <w:gridCol w:w="4700"/>
        <w:gridCol w:w="2780"/>
      </w:tblGrid>
      <w:tr>
        <w:trPr>
          <w:tblHeader/>
          <w:cantSplit/>
          <w:tblHeader w:val="true"/>
        </w:trPr>
        <w:tc>
          <w:tcPr>
            <w:tcW w:type="dxa" w:w="2600"/>
            <w:shd w:fill="1F4E78"/>
            <w:vAlign w:val="center"/>
            <w:tcMar>
              <w:top w:w="80" w:type="dxa"/>
              <w:start w:w="100" w:type="dxa"/>
              <w:bottom w:w="80" w:type="dxa"/>
              <w:end w:w="100" w:type="dxa"/>
            </w:tcMar>
          </w:tcPr>
          <w:p>
            <w:pPr>
              <w:spacing w:before="0" w:after="0"/>
              <w:jc w:val="left"/>
            </w:pPr>
            <w:r>
              <w:rPr>
                <w:b/>
                <w:color w:val="FFFFFF"/>
                <w:sz w:val="17"/>
              </w:rPr>
            </w:r>
            <w:r>
              <w:rPr>
                <w:b/>
                <w:color w:val="FFFFFF"/>
                <w:sz w:val="17"/>
              </w:rPr>
              <w:t>Function</w:t>
            </w:r>
          </w:p>
        </w:tc>
        <w:tc>
          <w:tcPr>
            <w:tcW w:type="dxa" w:w="4700"/>
            <w:shd w:fill="1F4E78"/>
            <w:vAlign w:val="center"/>
            <w:tcMar>
              <w:top w:w="80" w:type="dxa"/>
              <w:start w:w="100" w:type="dxa"/>
              <w:bottom w:w="80" w:type="dxa"/>
              <w:end w:w="100" w:type="dxa"/>
            </w:tcMar>
          </w:tcPr>
          <w:p>
            <w:pPr>
              <w:spacing w:before="0" w:after="0"/>
              <w:jc w:val="left"/>
            </w:pPr>
            <w:r>
              <w:rPr>
                <w:b/>
                <w:color w:val="FFFFFF"/>
                <w:sz w:val="17"/>
              </w:rPr>
            </w:r>
            <w:r>
              <w:rPr>
                <w:b/>
                <w:color w:val="FFFFFF"/>
                <w:sz w:val="17"/>
              </w:rPr>
              <w:t>Current baseline</w:t>
            </w:r>
          </w:p>
        </w:tc>
        <w:tc>
          <w:tcPr>
            <w:tcW w:type="dxa" w:w="2780"/>
            <w:shd w:fill="1F4E78"/>
            <w:vAlign w:val="center"/>
            <w:tcMar>
              <w:top w:w="80" w:type="dxa"/>
              <w:start w:w="100" w:type="dxa"/>
              <w:bottom w:w="80" w:type="dxa"/>
              <w:end w:w="100" w:type="dxa"/>
            </w:tcMar>
          </w:tcPr>
          <w:p>
            <w:pPr>
              <w:spacing w:before="0" w:after="0"/>
              <w:jc w:val="left"/>
            </w:pPr>
            <w:r>
              <w:rPr>
                <w:b/>
                <w:color w:val="FFFFFF"/>
                <w:sz w:val="17"/>
              </w:rPr>
            </w:r>
            <w:r>
              <w:rPr>
                <w:b/>
                <w:color w:val="FFFFFF"/>
                <w:sz w:val="17"/>
              </w:rPr>
              <w:t>Owner</w:t>
            </w:r>
          </w:p>
        </w:tc>
      </w:tr>
      <w:tr>
        <w:trPr>
          <w:cantSplit/>
        </w:trPr>
        <w:tc>
          <w:tcPr>
            <w:tcW w:type="dxa" w:w="2600"/>
            <w:vAlign w:val="center"/>
            <w:tcMar>
              <w:top w:w="80" w:type="dxa"/>
              <w:start w:w="100" w:type="dxa"/>
              <w:bottom w:w="80" w:type="dxa"/>
              <w:end w:w="100" w:type="dxa"/>
            </w:tcMar>
          </w:tcPr>
          <w:p>
            <w:pPr>
              <w:spacing w:before="0" w:after="0"/>
              <w:jc w:val="left"/>
            </w:pPr>
            <w:r>
              <w:rPr>
                <w:sz w:val="17"/>
              </w:rPr>
            </w:r>
            <w:r>
              <w:rPr>
                <w:b w:val="0"/>
                <w:sz w:val="17"/>
              </w:rPr>
              <w:t>Command lead time</w:t>
            </w:r>
          </w:p>
        </w:tc>
        <w:tc>
          <w:tcPr>
            <w:tcW w:type="dxa" w:w="4700"/>
            <w:vAlign w:val="center"/>
            <w:tcMar>
              <w:top w:w="80" w:type="dxa"/>
              <w:start w:w="100" w:type="dxa"/>
              <w:bottom w:w="80" w:type="dxa"/>
              <w:end w:w="100" w:type="dxa"/>
            </w:tcMar>
          </w:tcPr>
          <w:p>
            <w:pPr>
              <w:spacing w:before="0" w:after="0"/>
              <w:jc w:val="left"/>
            </w:pPr>
            <w:r>
              <w:rPr>
                <w:sz w:val="17"/>
              </w:rPr>
            </w:r>
            <w:r>
              <w:rPr>
                <w:b w:val="0"/>
                <w:sz w:val="17"/>
              </w:rPr>
              <w:t>5 ms, hardware proven</w:t>
            </w:r>
          </w:p>
        </w:tc>
        <w:tc>
          <w:tcPr>
            <w:tcW w:type="dxa" w:w="2780"/>
            <w:vAlign w:val="center"/>
            <w:tcMar>
              <w:top w:w="80" w:type="dxa"/>
              <w:start w:w="100" w:type="dxa"/>
              <w:bottom w:w="80" w:type="dxa"/>
              <w:end w:w="100" w:type="dxa"/>
            </w:tcMar>
          </w:tcPr>
          <w:p>
            <w:pPr>
              <w:spacing w:before="0" w:after="0"/>
              <w:jc w:val="left"/>
            </w:pPr>
            <w:r>
              <w:rPr>
                <w:sz w:val="17"/>
              </w:rPr>
            </w:r>
            <w:r>
              <w:rPr>
                <w:b w:val="0"/>
                <w:sz w:val="17"/>
              </w:rPr>
              <w:t>EttusRadarSource</w:t>
            </w:r>
          </w:p>
        </w:tc>
      </w:tr>
      <w:tr>
        <w:trPr>
          <w:cantSplit/>
        </w:trPr>
        <w:tc>
          <w:tcPr>
            <w:tcW w:type="dxa" w:w="2600"/>
            <w:vAlign w:val="center"/>
            <w:tcMar>
              <w:top w:w="80" w:type="dxa"/>
              <w:start w:w="100" w:type="dxa"/>
              <w:bottom w:w="80" w:type="dxa"/>
              <w:end w:w="100" w:type="dxa"/>
            </w:tcMar>
          </w:tcPr>
          <w:p>
            <w:r>
              <w:t>Default physical pulse timing</w:t>
            </w:r>
          </w:p>
        </w:tc>
        <w:tc>
          <w:tcPr>
            <w:tcW w:type="dxa" w:w="4700"/>
            <w:vAlign w:val="center"/>
            <w:tcMar>
              <w:top w:w="80" w:type="dxa"/>
              <w:start w:w="100" w:type="dxa"/>
              <w:bottom w:w="80" w:type="dxa"/>
              <w:end w:w="100" w:type="dxa"/>
            </w:tcMar>
          </w:tcPr>
          <w:p>
            <w:r>
              <w:t>4 kHz PRF; 250 us PRI; 64 A/B pulses; 16 ms CPI</w:t>
            </w:r>
          </w:p>
        </w:tc>
        <w:tc>
          <w:tcPr>
            <w:tcW w:type="dxa" w:w="2780"/>
            <w:vAlign w:val="center"/>
            <w:tcMar>
              <w:top w:w="80" w:type="dxa"/>
              <w:start w:w="100" w:type="dxa"/>
              <w:bottom w:w="80" w:type="dxa"/>
              <w:end w:w="100" w:type="dxa"/>
            </w:tcMar>
          </w:tcPr>
          <w:p>
            <w:r>
              <w:t>Operator selection + SDR hardware</w:t>
            </w:r>
          </w:p>
        </w:tc>
      </w:tr>
      <w:tr>
        <w:trPr>
          <w:cantSplit/>
        </w:trPr>
        <w:tc>
          <w:tcPr>
            <w:tcW w:type="dxa" w:w="2600"/>
            <w:vAlign w:val="center"/>
            <w:tcMar>
              <w:top w:w="80" w:type="dxa"/>
              <w:start w:w="100" w:type="dxa"/>
              <w:bottom w:w="80" w:type="dxa"/>
              <w:end w:w="100" w:type="dxa"/>
            </w:tcMar>
          </w:tcPr>
          <w:p>
            <w:r>
              <w:t>Main scheduler cadence</w:t>
            </w:r>
          </w:p>
        </w:tc>
        <w:tc>
          <w:tcPr>
            <w:tcW w:type="dxa" w:w="4700"/>
            <w:vAlign w:val="center"/>
            <w:tcMar>
              <w:top w:w="80" w:type="dxa"/>
              <w:start w:w="100" w:type="dxa"/>
              <w:bottom w:w="80" w:type="dxa"/>
              <w:end w:w="100" w:type="dxa"/>
            </w:tcMar>
          </w:tcPr>
          <w:p>
            <w:r>
              <w:t>100 ms start-to-start; approximately 10 CPI grids/s</w:t>
            </w:r>
          </w:p>
        </w:tc>
        <w:tc>
          <w:tcPr>
            <w:tcW w:type="dxa" w:w="2780"/>
            <w:vAlign w:val="center"/>
            <w:tcMar>
              <w:top w:w="80" w:type="dxa"/>
              <w:start w:w="100" w:type="dxa"/>
              <w:bottom w:w="80" w:type="dxa"/>
              <w:end w:w="100" w:type="dxa"/>
            </w:tcMar>
          </w:tcPr>
          <w:p>
            <w:r>
              <w:t>Main scheduler loop</w:t>
            </w:r>
          </w:p>
        </w:tc>
      </w:tr>
      <w:tr>
        <w:trPr>
          <w:cantSplit/>
        </w:trPr>
        <w:tc>
          <w:tcPr>
            <w:tcW w:type="dxa" w:w="2600"/>
            <w:vAlign w:val="center"/>
            <w:tcMar>
              <w:top w:w="80" w:type="dxa"/>
              <w:start w:w="100" w:type="dxa"/>
              <w:bottom w:w="80" w:type="dxa"/>
              <w:end w:w="100" w:type="dxa"/>
            </w:tcMar>
          </w:tcPr>
          <w:p>
            <w:r>
              <w:t>Measured default source execution</w:t>
            </w:r>
          </w:p>
        </w:tc>
        <w:tc>
          <w:tcPr>
            <w:tcW w:type="dxa" w:w="4700"/>
            <w:vAlign w:val="center"/>
            <w:tcMar>
              <w:top w:w="80" w:type="dxa"/>
              <w:start w:w="100" w:type="dxa"/>
              <w:bottom w:w="80" w:type="dxa"/>
              <w:end w:w="100" w:type="dxa"/>
            </w:tcMar>
          </w:tcPr>
          <w:p>
            <w:r>
              <w:t>Approximately 21.6-23.3 ms at 4 kHz/64 Golay</w:t>
            </w:r>
          </w:p>
        </w:tc>
        <w:tc>
          <w:tcPr>
            <w:tcW w:type="dxa" w:w="2780"/>
            <w:vAlign w:val="center"/>
            <w:tcMar>
              <w:top w:w="80" w:type="dxa"/>
              <w:start w:w="100" w:type="dxa"/>
              <w:bottom w:w="80" w:type="dxa"/>
              <w:end w:w="100" w:type="dxa"/>
            </w:tcMar>
          </w:tcPr>
          <w:p>
            <w:r>
              <w:t>EttusRadarSource</w:t>
            </w:r>
          </w:p>
        </w:tc>
      </w:tr>
      <w:tr>
        <w:trPr>
          <w:cantSplit/>
        </w:trPr>
        <w:tc>
          <w:tcPr>
            <w:tcW w:type="dxa" w:w="2600"/>
            <w:vAlign w:val="center"/>
            <w:tcMar>
              <w:top w:w="80" w:type="dxa"/>
              <w:start w:w="100" w:type="dxa"/>
              <w:bottom w:w="80" w:type="dxa"/>
              <w:end w:w="100" w:type="dxa"/>
            </w:tcMar>
          </w:tcPr>
          <w:p>
            <w:r>
              <w:t>Bounded command pipeline</w:t>
            </w:r>
          </w:p>
        </w:tc>
        <w:tc>
          <w:tcPr>
            <w:tcW w:type="dxa" w:w="4700"/>
            <w:vAlign w:val="center"/>
            <w:tcMar>
              <w:top w:w="80" w:type="dxa"/>
              <w:start w:w="100" w:type="dxa"/>
              <w:bottom w:w="80" w:type="dxa"/>
              <w:end w:w="100" w:type="dxa"/>
            </w:tcMar>
          </w:tcPr>
          <w:p>
            <w:r>
              <w:t>Depth 20; 5 ms horizon at 4 kHz</w:t>
            </w:r>
          </w:p>
        </w:tc>
        <w:tc>
          <w:tcPr>
            <w:tcW w:type="dxa" w:w="2780"/>
            <w:vAlign w:val="center"/>
            <w:tcMar>
              <w:top w:w="80" w:type="dxa"/>
              <w:start w:w="100" w:type="dxa"/>
              <w:bottom w:w="80" w:type="dxa"/>
              <w:end w:w="100" w:type="dxa"/>
            </w:tcMar>
          </w:tcPr>
          <w:p>
            <w:r>
              <w:t>EttusRadarSource</w:t>
            </w:r>
          </w:p>
        </w:tc>
      </w:tr>
      <w:tr>
        <w:trPr>
          <w:cantSplit/>
        </w:trPr>
        <w:tc>
          <w:tcPr>
            <w:tcW w:type="dxa" w:w="2600"/>
            <w:vAlign w:val="center"/>
            <w:tcMar>
              <w:top w:w="80" w:type="dxa"/>
              <w:start w:w="100" w:type="dxa"/>
              <w:bottom w:w="80" w:type="dxa"/>
              <w:end w:w="100" w:type="dxa"/>
            </w:tcMar>
          </w:tcPr>
          <w:p>
            <w:r>
              <w:t>Signal processing</w:t>
            </w:r>
          </w:p>
        </w:tc>
        <w:tc>
          <w:tcPr>
            <w:tcW w:type="dxa" w:w="4700"/>
            <w:vAlign w:val="center"/>
            <w:tcMar>
              <w:top w:w="80" w:type="dxa"/>
              <w:start w:w="100" w:type="dxa"/>
              <w:bottom w:w="80" w:type="dxa"/>
              <w:end w:w="100" w:type="dxa"/>
            </w:tcMar>
          </w:tcPr>
          <w:p>
            <w:r>
              <w:t>Approximately 9-20 ms observed</w:t>
            </w:r>
          </w:p>
        </w:tc>
        <w:tc>
          <w:tcPr>
            <w:tcW w:type="dxa" w:w="2780"/>
            <w:vAlign w:val="center"/>
            <w:tcMar>
              <w:top w:w="80" w:type="dxa"/>
              <w:start w:w="100" w:type="dxa"/>
              <w:bottom w:w="80" w:type="dxa"/>
              <w:end w:w="100" w:type="dxa"/>
            </w:tcMar>
          </w:tcPr>
          <w:p>
            <w:r>
              <w:t>RadarProcessor</w:t>
            </w:r>
          </w:p>
        </w:tc>
      </w:tr>
      <w:tr>
        <w:trPr>
          <w:cantSplit/>
        </w:trPr>
        <w:tc>
          <w:tcPr>
            <w:tcW w:type="dxa" w:w="2600"/>
            <w:vAlign w:val="center"/>
            <w:tcMar>
              <w:top w:w="80" w:type="dxa"/>
              <w:start w:w="100" w:type="dxa"/>
              <w:bottom w:w="80" w:type="dxa"/>
              <w:end w:w="100" w:type="dxa"/>
            </w:tcMar>
          </w:tcPr>
          <w:p>
            <w:r>
              <w:t>Detection and tracking</w:t>
            </w:r>
          </w:p>
        </w:tc>
        <w:tc>
          <w:tcPr>
            <w:tcW w:type="dxa" w:w="4700"/>
            <w:vAlign w:val="center"/>
            <w:tcMar>
              <w:top w:w="80" w:type="dxa"/>
              <w:start w:w="100" w:type="dxa"/>
              <w:bottom w:w="80" w:type="dxa"/>
              <w:end w:w="100" w:type="dxa"/>
            </w:tcMar>
          </w:tcPr>
          <w:p>
            <w:r>
              <w:t>Approximately 2.7-4.7 ms observed</w:t>
            </w:r>
          </w:p>
        </w:tc>
        <w:tc>
          <w:tcPr>
            <w:tcW w:type="dxa" w:w="2780"/>
            <w:vAlign w:val="center"/>
            <w:tcMar>
              <w:top w:w="80" w:type="dxa"/>
              <w:start w:w="100" w:type="dxa"/>
              <w:bottom w:w="80" w:type="dxa"/>
              <w:end w:w="100" w:type="dxa"/>
            </w:tcMar>
          </w:tcPr>
          <w:p>
            <w:r>
              <w:t>Detector / Tracker</w:t>
            </w:r>
          </w:p>
        </w:tc>
      </w:tr>
      <w:tr>
        <w:trPr>
          <w:cantSplit/>
        </w:trPr>
        <w:tc>
          <w:tcPr>
            <w:tcW w:type="dxa" w:w="2600"/>
            <w:vAlign w:val="center"/>
            <w:tcMar>
              <w:top w:w="80" w:type="dxa"/>
              <w:start w:w="100" w:type="dxa"/>
              <w:bottom w:w="80" w:type="dxa"/>
              <w:end w:w="100" w:type="dxa"/>
            </w:tcMar>
          </w:tcPr>
          <w:p>
            <w:r>
              <w:t>Display update</w:t>
            </w:r>
          </w:p>
        </w:tc>
        <w:tc>
          <w:tcPr>
            <w:tcW w:type="dxa" w:w="4700"/>
            <w:vAlign w:val="center"/>
            <w:tcMar>
              <w:top w:w="80" w:type="dxa"/>
              <w:start w:w="100" w:type="dxa"/>
              <w:bottom w:w="80" w:type="dxa"/>
              <w:end w:w="100" w:type="dxa"/>
            </w:tcMar>
          </w:tcPr>
          <w:p>
            <w:r>
              <w:t>Approximately 6-11 ms observed</w:t>
            </w:r>
          </w:p>
        </w:tc>
        <w:tc>
          <w:tcPr>
            <w:tcW w:type="dxa" w:w="2780"/>
            <w:vAlign w:val="center"/>
            <w:tcMar>
              <w:top w:w="80" w:type="dxa"/>
              <w:start w:w="100" w:type="dxa"/>
              <w:bottom w:w="80" w:type="dxa"/>
              <w:end w:w="100" w:type="dxa"/>
            </w:tcMar>
          </w:tcPr>
          <w:p>
            <w:r>
              <w:t>RadarDisplayQt5</w:t>
            </w:r>
          </w:p>
        </w:tc>
      </w:tr>
      <w:tr>
        <w:trPr>
          <w:cantSplit/>
        </w:trPr>
        <w:tc>
          <w:tcPr>
            <w:tcW w:type="dxa" w:w="2600"/>
            <w:vAlign w:val="center"/>
            <w:tcMar>
              <w:top w:w="80" w:type="dxa"/>
              <w:start w:w="100" w:type="dxa"/>
              <w:bottom w:w="80" w:type="dxa"/>
              <w:end w:w="100" w:type="dxa"/>
            </w:tcMar>
          </w:tcPr>
          <w:p>
            <w:pPr>
              <w:spacing w:before="0" w:after="0"/>
              <w:jc w:val="left"/>
            </w:pPr>
            <w:r>
              <w:rPr>
                <w:sz w:val="17"/>
              </w:rPr>
            </w:r>
            <w:r>
              <w:rPr>
                <w:b w:val="0"/>
                <w:sz w:val="17"/>
              </w:rPr>
              <w:t>SDR sample rate</w:t>
            </w:r>
          </w:p>
        </w:tc>
        <w:tc>
          <w:tcPr>
            <w:tcW w:type="dxa" w:w="4700"/>
            <w:vAlign w:val="center"/>
            <w:tcMar>
              <w:top w:w="80" w:type="dxa"/>
              <w:start w:w="100" w:type="dxa"/>
              <w:bottom w:w="80" w:type="dxa"/>
              <w:end w:w="100" w:type="dxa"/>
            </w:tcMar>
          </w:tcPr>
          <w:p>
            <w:pPr>
              <w:spacing w:before="0" w:after="0"/>
              <w:jc w:val="left"/>
            </w:pPr>
            <w:r>
              <w:rPr>
                <w:sz w:val="17"/>
              </w:rPr>
            </w:r>
            <w:r>
              <w:rPr>
                <w:b w:val="0"/>
                <w:sz w:val="17"/>
              </w:rPr>
              <w:t>40 MS/s fixed</w:t>
            </w:r>
          </w:p>
        </w:tc>
        <w:tc>
          <w:tcPr>
            <w:tcW w:type="dxa" w:w="2780"/>
            <w:vAlign w:val="center"/>
            <w:tcMar>
              <w:top w:w="80" w:type="dxa"/>
              <w:start w:w="100" w:type="dxa"/>
              <w:bottom w:w="80" w:type="dxa"/>
              <w:end w:w="100" w:type="dxa"/>
            </w:tcMar>
          </w:tcPr>
          <w:p>
            <w:pPr>
              <w:spacing w:before="0" w:after="0"/>
              <w:jc w:val="left"/>
            </w:pPr>
            <w:r>
              <w:rPr>
                <w:sz w:val="17"/>
              </w:rPr>
            </w:r>
            <w:r>
              <w:rPr>
                <w:b w:val="0"/>
                <w:sz w:val="17"/>
              </w:rPr>
              <w:t>WaveformLibrary / EttusRadarSource</w:t>
            </w:r>
          </w:p>
        </w:tc>
      </w:tr>
      <w:tr>
        <w:trPr>
          <w:cantSplit/>
        </w:trPr>
        <w:tc>
          <w:tcPr>
            <w:tcW w:type="dxa" w:w="2600"/>
            <w:vAlign w:val="center"/>
            <w:tcMar>
              <w:top w:w="80" w:type="dxa"/>
              <w:start w:w="100" w:type="dxa"/>
              <w:bottom w:w="80" w:type="dxa"/>
              <w:end w:w="100" w:type="dxa"/>
            </w:tcMar>
          </w:tcPr>
          <w:p>
            <w:r>
              <w:t>Operator PRF range</w:t>
            </w:r>
          </w:p>
        </w:tc>
        <w:tc>
          <w:tcPr>
            <w:tcW w:type="dxa" w:w="4700"/>
            <w:vAlign w:val="center"/>
            <w:tcMar>
              <w:top w:w="80" w:type="dxa"/>
              <w:start w:w="100" w:type="dxa"/>
              <w:bottom w:w="80" w:type="dxa"/>
              <w:end w:w="100" w:type="dxa"/>
            </w:tcMar>
          </w:tcPr>
          <w:p>
            <w:r>
              <w:t>1-4 kHz physical; 4 kHz Golay default</w:t>
            </w:r>
          </w:p>
        </w:tc>
        <w:tc>
          <w:tcPr>
            <w:tcW w:type="dxa" w:w="2780"/>
            <w:vAlign w:val="center"/>
            <w:tcMar>
              <w:top w:w="80" w:type="dxa"/>
              <w:start w:w="100" w:type="dxa"/>
              <w:bottom w:w="80" w:type="dxa"/>
              <w:end w:w="100" w:type="dxa"/>
            </w:tcMar>
          </w:tcPr>
          <w:p>
            <w:r>
              <w:t>Operator UI / RadarExecutor</w:t>
            </w:r>
          </w:p>
        </w:tc>
      </w:tr>
      <w:tr>
        <w:trPr>
          <w:cantSplit/>
        </w:trPr>
        <w:tc>
          <w:tcPr>
            <w:tcW w:type="dxa" w:w="2600"/>
            <w:vAlign w:val="center"/>
            <w:tcMar>
              <w:top w:w="80" w:type="dxa"/>
              <w:start w:w="100" w:type="dxa"/>
              <w:bottom w:w="80" w:type="dxa"/>
              <w:end w:w="100" w:type="dxa"/>
            </w:tcMar>
          </w:tcPr>
          <w:p>
            <w:r>
              <w:t>Receiver recovery and guards</w:t>
            </w:r>
          </w:p>
        </w:tc>
        <w:tc>
          <w:tcPr>
            <w:tcW w:type="dxa" w:w="4700"/>
            <w:vAlign w:val="center"/>
            <w:tcMar>
              <w:top w:w="80" w:type="dxa"/>
              <w:start w:w="100" w:type="dxa"/>
              <w:bottom w:w="80" w:type="dxa"/>
              <w:end w:w="100" w:type="dxa"/>
            </w:tcMar>
          </w:tcPr>
          <w:p>
            <w:r>
              <w:t>Golay: 3.4 us TX ATR, 4.4 us RX start, 4,043 samples; TRM/receiver recovery remains unverified</w:t>
            </w:r>
          </w:p>
        </w:tc>
        <w:tc>
          <w:tcPr>
            <w:tcW w:type="dxa" w:w="2780"/>
            <w:vAlign w:val="center"/>
            <w:tcMar>
              <w:top w:w="80" w:type="dxa"/>
              <w:start w:w="100" w:type="dxa"/>
              <w:bottom w:w="80" w:type="dxa"/>
              <w:end w:w="100" w:type="dxa"/>
            </w:tcMar>
          </w:tcPr>
          <w:p>
            <w:r>
              <w:t>RadarTiming / RF verification</w:t>
            </w:r>
          </w:p>
        </w:tc>
      </w:tr>
      <w:tr>
        <w:trPr>
          <w:cantSplit/>
        </w:trPr>
        <w:tc>
          <w:tcPr>
            <w:tcW w:type="dxa" w:w="2600"/>
          </w:tcPr>
          <w:p>
            <w:r>
              <w:t>Golay slow-time timing</w:t>
            </w:r>
          </w:p>
        </w:tc>
        <w:tc>
          <w:tcPr>
            <w:tcW w:type="dxa" w:w="4700"/>
          </w:tcPr>
          <w:p>
            <w:r>
              <w:t>32 pairs at 2 kHz effective pair rate; 500 us pair spacing</w:t>
            </w:r>
          </w:p>
        </w:tc>
        <w:tc>
          <w:tcPr>
            <w:tcW w:type="dxa" w:w="2780"/>
          </w:tcPr>
          <w:p>
            <w:r>
              <w:t>RadarProcessor</w:t>
            </w:r>
          </w:p>
        </w:tc>
      </w:tr>
      <w:tr>
        <w:trPr>
          <w:cantSplit/>
        </w:trPr>
        <w:tc>
          <w:tcPr>
            <w:tcW w:type="dxa" w:w="2600"/>
          </w:tcPr>
          <w:p>
            <w:r>
              <w:t>Antenna motion</w:t>
            </w:r>
          </w:p>
        </w:tc>
        <w:tc>
          <w:tcPr>
            <w:tcW w:type="dxa" w:w="4700"/>
          </w:tcPr>
          <w:p>
            <w:r>
              <w:t>20 deg/s; 0.32 deg per 16 ms CPI; approximately 2 deg per 100 ms dwell</w:t>
            </w:r>
          </w:p>
        </w:tc>
        <w:tc>
          <w:tcPr>
            <w:tcW w:type="dxa" w:w="2780"/>
          </w:tcPr>
          <w:p>
            <w:r>
              <w:t>PointingManager / X6-60</w:t>
            </w:r>
          </w:p>
        </w:tc>
      </w:tr>
    </w:tbl>
    <w:p>
      <w:pPr>
        <w:pStyle w:val="Heading2"/>
      </w:pPr>
      <w:r>
        <w:t>14.5 Configured CPI cadence and hardware evidence</w:t>
      </w:r>
    </w:p>
    <w:p>
      <w:pPr/>
      <w:r>
        <w:t>The configured Golay profile and hardware stress test use the same fixed 40 MS/s sample rate, 4,043 receive samples per physical pulse, depth-20 bounded paired queue and 5 ms command lead. The operational profile uses 4 kHz/64 pulses/16 ms; the stress test uses 4 kHz/128 pulses/32 ms. The main scheduler's 100 ms cadence is not part of the standalone stress harness.</w:t>
      </w:r>
    </w:p>
    <w:tbl>
      <w:tblPr>
        <w:tblStyle w:val="TableGrid"/>
        <w:tblW w:type="dxa" w:w="10080"/>
        <w:tblLayout w:type="fixed"/>
        <w:tblLook w:firstColumn="1" w:firstRow="1" w:lastColumn="0" w:lastRow="0" w:noHBand="0" w:noVBand="1" w:val="04A0"/>
      </w:tblPr>
      <w:tblGrid>
        <w:gridCol w:w="2300"/>
        <w:gridCol w:w="3600"/>
        <w:gridCol w:w="4180"/>
      </w:tblGrid>
      <w:tr>
        <w:trPr>
          <w:tblHeader w:val="true"/>
          <w:cantSplit/>
        </w:trPr>
        <w:tc>
          <w:tcPr>
            <w:tcW w:type="dxa" w:w="2300"/>
            <w:shd w:fill="1F4E78"/>
            <w:vAlign w:val="center"/>
          </w:tcPr>
          <w:p>
            <w:pPr>
              <w:jc w:val="left"/>
            </w:pPr>
            <w:r>
              <w:rPr>
                <w:b/>
                <w:color w:val="FFFFFF"/>
              </w:rPr>
            </w:r>
            <w:r>
              <w:rPr>
                <w:b/>
                <w:color w:val="FFFFFF"/>
              </w:rPr>
              <w:t>Parameter</w:t>
            </w:r>
          </w:p>
        </w:tc>
        <w:tc>
          <w:tcPr>
            <w:tcW w:type="dxa" w:w="3600"/>
            <w:shd w:fill="1F4E78"/>
            <w:vAlign w:val="center"/>
          </w:tcPr>
          <w:p>
            <w:pPr>
              <w:jc w:val="left"/>
            </w:pPr>
            <w:r>
              <w:rPr>
                <w:b/>
                <w:color w:val="FFFFFF"/>
              </w:rPr>
            </w:r>
            <w:r>
              <w:rPr>
                <w:b/>
                <w:color w:val="FFFFFF"/>
              </w:rPr>
              <w:t>Configured operational profile</w:t>
            </w:r>
          </w:p>
        </w:tc>
        <w:tc>
          <w:tcPr>
            <w:tcW w:type="dxa" w:w="4180"/>
            <w:shd w:fill="1F4E78"/>
            <w:vAlign w:val="center"/>
          </w:tcPr>
          <w:p>
            <w:pPr>
              <w:jc w:val="left"/>
            </w:pPr>
            <w:r>
              <w:rPr>
                <w:b/>
                <w:color w:val="FFFFFF"/>
              </w:rPr>
            </w:r>
            <w:r>
              <w:rPr>
                <w:b/>
                <w:color w:val="FFFFFF"/>
              </w:rPr>
              <w:t>Hardware stress test</w:t>
            </w:r>
          </w:p>
        </w:tc>
      </w:tr>
      <w:tr>
        <w:trPr>
          <w:cantSplit/>
        </w:trPr>
        <w:tc>
          <w:tcPr>
            <w:tcW w:type="dxa" w:w="2300"/>
            <w:vAlign w:val="center"/>
          </w:tcPr>
          <w:p>
            <w:r>
              <w:t>PRF / PRI</w:t>
            </w:r>
          </w:p>
        </w:tc>
        <w:tc>
          <w:tcPr>
            <w:tcW w:type="dxa" w:w="3600"/>
            <w:vAlign w:val="center"/>
          </w:tcPr>
          <w:p>
            <w:r>
              <w:t>4 kHz / 250 us physical</w:t>
            </w:r>
          </w:p>
        </w:tc>
        <w:tc>
          <w:tcPr>
            <w:tcW w:type="dxa" w:w="4180"/>
            <w:vAlign w:val="center"/>
          </w:tcPr>
          <w:p>
            <w:r>
              <w:t>4 kHz / 250 us</w:t>
            </w:r>
          </w:p>
        </w:tc>
      </w:tr>
      <w:tr>
        <w:trPr>
          <w:cantSplit/>
        </w:trPr>
        <w:tc>
          <w:tcPr>
            <w:tcW w:type="dxa" w:w="2300"/>
            <w:vAlign w:val="center"/>
          </w:tcPr>
          <w:p>
            <w:r>
              <w:t>Pulses per CPI</w:t>
            </w:r>
          </w:p>
        </w:tc>
        <w:tc>
          <w:tcPr>
            <w:tcW w:type="dxa" w:w="3600"/>
            <w:vAlign w:val="center"/>
          </w:tcPr>
          <w:p>
            <w:r>
              <w:t>64 physical A/B; 32 pairs</w:t>
            </w:r>
          </w:p>
        </w:tc>
        <w:tc>
          <w:tcPr>
            <w:tcW w:type="dxa" w:w="4180"/>
            <w:vAlign w:val="center"/>
          </w:tcPr>
          <w:p>
            <w:r>
              <w:t>128</w:t>
            </w:r>
          </w:p>
        </w:tc>
      </w:tr>
      <w:tr>
        <w:trPr>
          <w:cantSplit/>
        </w:trPr>
        <w:tc>
          <w:tcPr>
            <w:tcW w:type="dxa" w:w="2300"/>
            <w:vAlign w:val="center"/>
          </w:tcPr>
          <w:p>
            <w:r>
              <w:t>Nominal CPI duration</w:t>
            </w:r>
          </w:p>
        </w:tc>
        <w:tc>
          <w:tcPr>
            <w:tcW w:type="dxa" w:w="3600"/>
            <w:vAlign w:val="center"/>
          </w:tcPr>
          <w:p>
            <w:r>
              <w:t>16.000 ms</w:t>
            </w:r>
          </w:p>
        </w:tc>
        <w:tc>
          <w:tcPr>
            <w:tcW w:type="dxa" w:w="4180"/>
            <w:vAlign w:val="center"/>
          </w:tcPr>
          <w:p>
            <w:r>
              <w:t>32.000 ms</w:t>
            </w:r>
          </w:p>
        </w:tc>
      </w:tr>
      <w:tr>
        <w:trPr>
          <w:cantSplit/>
        </w:trPr>
        <w:tc>
          <w:tcPr>
            <w:tcW w:type="dxa" w:w="2300"/>
            <w:vAlign w:val="center"/>
          </w:tcPr>
          <w:p>
            <w:pPr>
              <w:jc w:val="left"/>
            </w:pPr>
            <w:r/>
            <w:r>
              <w:rPr>
                <w:b w:val="0"/>
              </w:rPr>
              <w:t>Command lead</w:t>
            </w:r>
          </w:p>
        </w:tc>
        <w:tc>
          <w:tcPr>
            <w:tcW w:type="dxa" w:w="3600"/>
            <w:vAlign w:val="center"/>
          </w:tcPr>
          <w:p>
            <w:pPr>
              <w:jc w:val="left"/>
            </w:pPr>
            <w:r/>
            <w:r>
              <w:rPr>
                <w:b w:val="0"/>
              </w:rPr>
              <w:t>5.000 ms</w:t>
            </w:r>
          </w:p>
        </w:tc>
        <w:tc>
          <w:tcPr>
            <w:tcW w:type="dxa" w:w="4180"/>
            <w:vAlign w:val="center"/>
          </w:tcPr>
          <w:p>
            <w:pPr>
              <w:jc w:val="left"/>
            </w:pPr>
            <w:r/>
            <w:r>
              <w:rPr>
                <w:b w:val="0"/>
              </w:rPr>
              <w:t>5.000 ms</w:t>
            </w:r>
          </w:p>
        </w:tc>
      </w:tr>
      <w:tr>
        <w:trPr>
          <w:cantSplit/>
        </w:trPr>
        <w:tc>
          <w:tcPr>
            <w:tcW w:type="dxa" w:w="2300"/>
            <w:vAlign w:val="center"/>
          </w:tcPr>
          <w:p>
            <w:r>
              <w:t>Queue depth / horizon</w:t>
            </w:r>
          </w:p>
        </w:tc>
        <w:tc>
          <w:tcPr>
            <w:tcW w:type="dxa" w:w="3600"/>
            <w:vAlign w:val="center"/>
          </w:tcPr>
          <w:p>
            <w:r>
              <w:t>20 / 5.000 ms</w:t>
            </w:r>
          </w:p>
        </w:tc>
        <w:tc>
          <w:tcPr>
            <w:tcW w:type="dxa" w:w="4180"/>
            <w:vAlign w:val="center"/>
          </w:tcPr>
          <w:p>
            <w:r>
              <w:t>20 / 5.000 ms</w:t>
            </w:r>
          </w:p>
        </w:tc>
      </w:tr>
      <w:tr>
        <w:trPr>
          <w:cantSplit/>
        </w:trPr>
        <w:tc>
          <w:tcPr>
            <w:tcW w:type="dxa" w:w="2300"/>
            <w:vAlign w:val="center"/>
          </w:tcPr>
          <w:p>
            <w:pPr>
              <w:jc w:val="left"/>
            </w:pPr>
            <w:r/>
            <w:r>
              <w:rPr>
                <w:b w:val="0"/>
              </w:rPr>
              <w:t>RX samples</w:t>
            </w:r>
          </w:p>
        </w:tc>
        <w:tc>
          <w:tcPr>
            <w:tcW w:type="dxa" w:w="3600"/>
            <w:vAlign w:val="center"/>
          </w:tcPr>
          <w:p>
            <w:pPr>
              <w:jc w:val="left"/>
            </w:pPr>
            <w:r/>
            <w:r>
              <w:rPr>
                <w:b w:val="0"/>
              </w:rPr>
              <w:t>4,043 per pulse</w:t>
            </w:r>
          </w:p>
        </w:tc>
        <w:tc>
          <w:tcPr>
            <w:tcW w:type="dxa" w:w="4180"/>
            <w:vAlign w:val="center"/>
          </w:tcPr>
          <w:p>
            <w:pPr>
              <w:jc w:val="left"/>
            </w:pPr>
            <w:r/>
            <w:r>
              <w:rPr>
                <w:b w:val="0"/>
              </w:rPr>
              <w:t>4,043 per pulse; 517,504 total</w:t>
            </w:r>
          </w:p>
        </w:tc>
      </w:tr>
      <w:tr>
        <w:trPr>
          <w:cantSplit/>
        </w:trPr>
        <w:tc>
          <w:tcPr>
            <w:tcW w:type="dxa" w:w="2300"/>
            <w:vAlign w:val="center"/>
          </w:tcPr>
          <w:p>
            <w:r>
              <w:t>Source execution wall time</w:t>
            </w:r>
          </w:p>
        </w:tc>
        <w:tc>
          <w:tcPr>
            <w:tcW w:type="dxa" w:w="3600"/>
            <w:vAlign w:val="center"/>
          </w:tcPr>
          <w:p>
            <w:r>
              <w:t>21.6-23.3 ms measured</w:t>
            </w:r>
          </w:p>
        </w:tc>
        <w:tc>
          <w:tcPr>
            <w:tcW w:type="dxa" w:w="4180"/>
            <w:vAlign w:val="center"/>
          </w:tcPr>
          <w:p>
            <w:r>
              <w:t>36.963-37.016 ms measured</w:t>
            </w:r>
          </w:p>
        </w:tc>
      </w:tr>
      <w:tr>
        <w:trPr>
          <w:cantSplit/>
        </w:trPr>
        <w:tc>
          <w:tcPr>
            <w:tcW w:type="dxa" w:w="2300"/>
            <w:vAlign w:val="center"/>
          </w:tcPr>
          <w:p>
            <w:pPr>
              <w:jc w:val="left"/>
            </w:pPr>
            <w:r/>
            <w:r>
              <w:rPr>
                <w:b w:val="0"/>
              </w:rPr>
              <w:t>Scheduler/CPI-grid cadence</w:t>
            </w:r>
          </w:p>
        </w:tc>
        <w:tc>
          <w:tcPr>
            <w:tcW w:type="dxa" w:w="3600"/>
            <w:vAlign w:val="center"/>
          </w:tcPr>
          <w:p>
            <w:pPr>
              <w:jc w:val="left"/>
            </w:pPr>
            <w:r/>
            <w:r>
              <w:rPr>
                <w:b w:val="0"/>
              </w:rPr>
              <w:t>100 ms nominal; approximately 10 Hz</w:t>
            </w:r>
          </w:p>
        </w:tc>
        <w:tc>
          <w:tcPr>
            <w:tcW w:type="dxa" w:w="4180"/>
            <w:vAlign w:val="center"/>
          </w:tcPr>
          <w:p>
            <w:pPr>
              <w:jc w:val="left"/>
            </w:pPr>
            <w:r/>
            <w:r>
              <w:rPr>
                <w:b w:val="0"/>
              </w:rPr>
              <w:t>Not applied by standalone harness</w:t>
            </w:r>
          </w:p>
        </w:tc>
      </w:tr>
      <w:tr>
        <w:trPr>
          <w:cantSplit/>
        </w:trPr>
        <w:tc>
          <w:tcPr>
            <w:tcW w:type="dxa" w:w="2300"/>
            <w:vAlign w:val="center"/>
          </w:tcPr>
          <w:p>
            <w:r>
              <w:t>Verification result</w:t>
            </w:r>
          </w:p>
        </w:tc>
        <w:tc>
          <w:tcPr>
            <w:tcW w:type="dxa" w:w="3600"/>
            <w:vAlign w:val="center"/>
          </w:tcPr>
          <w:p>
            <w:r>
              <w:t>Operational Golay timing and receive-only application runs complete</w:t>
            </w:r>
          </w:p>
        </w:tc>
        <w:tc>
          <w:tcPr>
            <w:tcW w:type="dxa" w:w="4180"/>
            <w:vAlign w:val="center"/>
          </w:tcPr>
          <w:p>
            <w:r>
              <w:t>10/10 dwells passed; complete TX sends/ACKs and RX samples; no reported transport faults</w:t>
            </w:r>
          </w:p>
        </w:tc>
      </w:tr>
    </w:tbl>
    <w:p>
      <w:pPr>
        <w:spacing w:before="120"/>
      </w:pPr>
      <w:r>
        <w:t>The protected TX/RX-to-RX2 cable tests use 30 dB external attenuation and explicit guarded RF confirmations. The 5 ms lead and depth-20 transport passed the 4 kHz/128-pulse load. ATR, TRM and PA state depends on the selected guarded profile and is printed at startup; no result authorises connection of the TRM or 50 W PA. Exact SDR CPI-grid spacing is obtained from consecutive ScheduledPriHardwareTimesSec[0] diagnostics.</w:t>
      </w:r>
    </w:p>
    <w:p>
      <w:pPr>
        <w:pStyle w:val="Heading2"/>
        <w:pageBreakBefore/>
      </w:pPr>
      <w:r>
        <w:t>14.6 B200mini ATR CRO verification evidence</w:t>
      </w:r>
    </w:p>
    <w:p>
      <w:r>
        <w:t>On 20 July 2026 the B200mini serial 34A0320 ATR outputs were measured with the TRM and PA physically disconnected. J6 pin 3/GPIO_1 was active-high TX and J6 pin 4/GPIO_2 was active-high RX. The CRO-only harness used 40 MS/s, 2 kHz, 32 Frank10_20MHz pulses, depth-20 queue, 5 ms lead and 100 ms dwell cadence. These photographs remain evidence for polarity, idle state, edge rise and non-overlap; the shorter Golay envelope is derived and separately exercised by the timed operational code.</w:t>
      </w:r>
    </w:p>
    <w:tbl>
      <w:tblPr>
        <w:tblStyle w:val="TableGrid"/>
        <w:tblW w:type="auto" w:w="0"/>
        <w:tblLook w:firstColumn="1" w:firstRow="1" w:lastColumn="0" w:lastRow="0" w:noHBand="0" w:noVBand="1" w:val="04A0"/>
      </w:tblPr>
      <w:tblGrid>
        <w:gridCol w:w="3360"/>
        <w:gridCol w:w="3360"/>
        <w:gridCol w:w="3360"/>
      </w:tblGrid>
      <w:tr>
        <w:trPr>
          <w:tblHeader/>
          <w:cantSplit/>
        </w:trPr>
        <w:tc>
          <w:tcPr>
            <w:tcW w:type="dxa" w:w="1944"/>
            <w:vAlign w:val="center"/>
            <w:tcMar>
              <w:top w:w="80" w:type="dxa"/>
              <w:start w:w="100" w:type="dxa"/>
              <w:bottom w:w="80" w:type="dxa"/>
              <w:end w:w="100" w:type="dxa"/>
            </w:tcMar>
          </w:tcPr>
          <w:p>
            <w:pPr>
              <w:spacing w:before="0" w:after="0"/>
            </w:pPr>
            <w:r>
              <w:rPr>
                <w:b/>
                <w:sz w:val="17"/>
              </w:rPr>
              <w:t>Measured item</w:t>
            </w:r>
          </w:p>
        </w:tc>
        <w:tc>
          <w:tcPr>
            <w:tcW w:type="dxa" w:w="2880"/>
            <w:vAlign w:val="center"/>
            <w:tcMar>
              <w:top w:w="80" w:type="dxa"/>
              <w:start w:w="100" w:type="dxa"/>
              <w:bottom w:w="80" w:type="dxa"/>
              <w:end w:w="100" w:type="dxa"/>
            </w:tcMar>
          </w:tcPr>
          <w:p>
            <w:pPr>
              <w:spacing w:before="0" w:after="0"/>
            </w:pPr>
            <w:r>
              <w:rPr>
                <w:b/>
                <w:sz w:val="17"/>
              </w:rPr>
              <w:t>CRO evidence</w:t>
            </w:r>
          </w:p>
        </w:tc>
        <w:tc>
          <w:tcPr>
            <w:tcW w:type="dxa" w:w="4320"/>
            <w:vAlign w:val="center"/>
            <w:tcMar>
              <w:top w:w="80" w:type="dxa"/>
              <w:start w:w="100" w:type="dxa"/>
              <w:bottom w:w="80" w:type="dxa"/>
              <w:end w:w="100" w:type="dxa"/>
            </w:tcMar>
          </w:tcPr>
          <w:p>
            <w:pPr>
              <w:spacing w:before="0" w:after="0"/>
            </w:pPr>
            <w:r>
              <w:rPr>
                <w:b/>
                <w:sz w:val="17"/>
              </w:rPr>
              <w:t>Disposition</w:t>
            </w:r>
          </w:p>
        </w:tc>
      </w:tr>
      <w:tr>
        <w:trPr>
          <w:cantSplit/>
        </w:trPr>
        <w:tc>
          <w:tcPr>
            <w:tcW w:type="dxa" w:w="1944"/>
            <w:vAlign w:val="center"/>
            <w:tcMar>
              <w:top w:w="80" w:type="dxa"/>
              <w:start w:w="100" w:type="dxa"/>
              <w:bottom w:w="80" w:type="dxa"/>
              <w:end w:w="100" w:type="dxa"/>
            </w:tcMar>
          </w:tcPr>
          <w:p>
            <w:pPr>
              <w:spacing w:before="0" w:after="0"/>
            </w:pPr>
            <w:r>
              <w:rPr>
                <w:sz w:val="17"/>
              </w:rPr>
              <w:t>Logic levels</w:t>
            </w:r>
          </w:p>
        </w:tc>
        <w:tc>
          <w:tcPr>
            <w:tcW w:type="dxa" w:w="2880"/>
            <w:vAlign w:val="center"/>
            <w:tcMar>
              <w:top w:w="80" w:type="dxa"/>
              <w:start w:w="100" w:type="dxa"/>
              <w:bottom w:w="80" w:type="dxa"/>
              <w:end w:w="100" w:type="dxa"/>
            </w:tcMar>
          </w:tcPr>
          <w:p>
            <w:pPr>
              <w:spacing w:before="0" w:after="0"/>
            </w:pPr>
            <w:r>
              <w:rPr>
                <w:sz w:val="17"/>
              </w:rPr>
              <w:t>Active high; 3.32 V peak-to-peak</w:t>
            </w:r>
          </w:p>
        </w:tc>
        <w:tc>
          <w:tcPr>
            <w:tcW w:type="dxa" w:w="4320"/>
            <w:vAlign w:val="center"/>
            <w:tcMar>
              <w:top w:w="80" w:type="dxa"/>
              <w:start w:w="100" w:type="dxa"/>
              <w:bottom w:w="80" w:type="dxa"/>
              <w:end w:w="100" w:type="dxa"/>
            </w:tcMar>
          </w:tcPr>
          <w:p>
            <w:pPr>
              <w:spacing w:before="0" w:after="0"/>
            </w:pPr>
            <w:r>
              <w:rPr>
                <w:sz w:val="17"/>
              </w:rPr>
              <w:t>Accepted for isolated GPIO stage</w:t>
            </w:r>
          </w:p>
        </w:tc>
      </w:tr>
      <w:tr>
        <w:trPr>
          <w:cantSplit/>
        </w:trPr>
        <w:tc>
          <w:tcPr>
            <w:tcW w:type="dxa" w:w="1944"/>
            <w:vAlign w:val="center"/>
            <w:tcMar>
              <w:top w:w="80" w:type="dxa"/>
              <w:start w:w="100" w:type="dxa"/>
              <w:bottom w:w="80" w:type="dxa"/>
              <w:end w:w="100" w:type="dxa"/>
            </w:tcMar>
          </w:tcPr>
          <w:p>
            <w:pPr>
              <w:spacing w:before="0" w:after="0"/>
            </w:pPr>
            <w:r>
              <w:rPr>
                <w:sz w:val="17"/>
              </w:rPr>
              <w:t>PRF / PRI</w:t>
            </w:r>
          </w:p>
        </w:tc>
        <w:tc>
          <w:tcPr>
            <w:tcW w:type="dxa" w:w="2880"/>
            <w:vAlign w:val="center"/>
            <w:tcMar>
              <w:top w:w="80" w:type="dxa"/>
              <w:start w:w="100" w:type="dxa"/>
              <w:bottom w:w="80" w:type="dxa"/>
              <w:end w:w="100" w:type="dxa"/>
            </w:tcMar>
          </w:tcPr>
          <w:p>
            <w:pPr>
              <w:spacing w:before="0" w:after="0"/>
            </w:pPr>
            <w:r>
              <w:rPr>
                <w:sz w:val="17"/>
              </w:rPr>
              <w:t>2.00 kHz / 500 us</w:t>
            </w:r>
          </w:p>
        </w:tc>
        <w:tc>
          <w:tcPr>
            <w:tcW w:type="dxa" w:w="4320"/>
            <w:vAlign w:val="center"/>
            <w:tcMar>
              <w:top w:w="80" w:type="dxa"/>
              <w:start w:w="100" w:type="dxa"/>
              <w:bottom w:w="80" w:type="dxa"/>
              <w:end w:w="100" w:type="dxa"/>
            </w:tcMar>
          </w:tcPr>
          <w:p>
            <w:pPr>
              <w:spacing w:before="0" w:after="0"/>
            </w:pPr>
            <w:r>
              <w:rPr>
                <w:sz w:val="17"/>
              </w:rPr>
              <w:t>Matches commanded default profile</w:t>
            </w:r>
          </w:p>
        </w:tc>
      </w:tr>
      <w:tr>
        <w:trPr>
          <w:cantSplit/>
        </w:trPr>
        <w:tc>
          <w:tcPr>
            <w:tcW w:type="dxa" w:w="1944"/>
            <w:vAlign w:val="center"/>
            <w:tcMar>
              <w:top w:w="80" w:type="dxa"/>
              <w:start w:w="100" w:type="dxa"/>
              <w:bottom w:w="80" w:type="dxa"/>
              <w:end w:w="100" w:type="dxa"/>
            </w:tcMar>
          </w:tcPr>
          <w:p>
            <w:pPr>
              <w:spacing w:before="0" w:after="0"/>
            </w:pPr>
            <w:r>
              <w:rPr>
                <w:sz w:val="17"/>
              </w:rPr>
              <w:t>TX ATR high</w:t>
            </w:r>
          </w:p>
        </w:tc>
        <w:tc>
          <w:tcPr>
            <w:tcW w:type="dxa" w:w="2880"/>
            <w:vAlign w:val="center"/>
            <w:tcMar>
              <w:top w:w="80" w:type="dxa"/>
              <w:start w:w="100" w:type="dxa"/>
              <w:bottom w:w="80" w:type="dxa"/>
              <w:end w:w="100" w:type="dxa"/>
            </w:tcMar>
          </w:tcPr>
          <w:p>
            <w:pPr>
              <w:spacing w:before="0" w:after="0"/>
            </w:pPr>
            <w:r>
              <w:rPr>
                <w:sz w:val="17"/>
              </w:rPr>
              <w:t>Approximately 5 us</w:t>
            </w:r>
          </w:p>
        </w:tc>
        <w:tc>
          <w:tcPr>
            <w:tcW w:type="dxa" w:w="4320"/>
            <w:vAlign w:val="center"/>
            <w:tcMar>
              <w:top w:w="80" w:type="dxa"/>
              <w:start w:w="100" w:type="dxa"/>
              <w:bottom w:w="80" w:type="dxa"/>
              <w:end w:w="100" w:type="dxa"/>
            </w:tcMar>
          </w:tcPr>
          <w:p>
            <w:pPr>
              <w:spacing w:before="0" w:after="0"/>
            </w:pPr>
            <w:r>
              <w:rPr>
                <w:sz w:val="17"/>
              </w:rPr>
              <w:t>Pre-roll baseline measurement</w:t>
            </w:r>
          </w:p>
        </w:tc>
      </w:tr>
      <w:tr>
        <w:trPr>
          <w:cantSplit/>
        </w:trPr>
        <w:tc>
          <w:tcPr>
            <w:tcW w:type="dxa" w:w="1944"/>
            <w:vAlign w:val="center"/>
            <w:tcMar>
              <w:top w:w="80" w:type="dxa"/>
              <w:start w:w="100" w:type="dxa"/>
              <w:bottom w:w="80" w:type="dxa"/>
              <w:end w:w="100" w:type="dxa"/>
            </w:tcMar>
          </w:tcPr>
          <w:p>
            <w:pPr>
              <w:spacing w:before="0" w:after="0"/>
            </w:pPr>
            <w:r>
              <w:rPr>
                <w:sz w:val="17"/>
              </w:rPr>
              <w:t>RX ATR high</w:t>
            </w:r>
          </w:p>
        </w:tc>
        <w:tc>
          <w:tcPr>
            <w:tcW w:type="dxa" w:w="2880"/>
            <w:vAlign w:val="center"/>
            <w:tcMar>
              <w:top w:w="80" w:type="dxa"/>
              <w:start w:w="100" w:type="dxa"/>
              <w:bottom w:w="80" w:type="dxa"/>
              <w:end w:w="100" w:type="dxa"/>
            </w:tcMar>
          </w:tcPr>
          <w:p>
            <w:pPr>
              <w:spacing w:before="0" w:after="0"/>
            </w:pPr>
            <w:r>
              <w:rPr>
                <w:sz w:val="17"/>
              </w:rPr>
              <w:t>Approximately 100 us</w:t>
            </w:r>
          </w:p>
        </w:tc>
        <w:tc>
          <w:tcPr>
            <w:tcW w:type="dxa" w:w="4320"/>
            <w:vAlign w:val="center"/>
            <w:tcMar>
              <w:top w:w="80" w:type="dxa"/>
              <w:start w:w="100" w:type="dxa"/>
              <w:bottom w:w="80" w:type="dxa"/>
              <w:end w:w="100" w:type="dxa"/>
            </w:tcMar>
          </w:tcPr>
          <w:p>
            <w:pPr>
              <w:spacing w:before="0" w:after="0"/>
            </w:pPr>
            <w:r>
              <w:rPr>
                <w:sz w:val="17"/>
              </w:rPr>
              <w:t>Consistent with 101.075 us commanded window</w:t>
            </w:r>
          </w:p>
        </w:tc>
      </w:tr>
      <w:tr>
        <w:trPr>
          <w:cantSplit/>
        </w:trPr>
        <w:tc>
          <w:tcPr>
            <w:tcW w:type="dxa" w:w="1944"/>
            <w:vAlign w:val="center"/>
            <w:tcMar>
              <w:top w:w="80" w:type="dxa"/>
              <w:start w:w="100" w:type="dxa"/>
              <w:bottom w:w="80" w:type="dxa"/>
              <w:end w:w="100" w:type="dxa"/>
            </w:tcMar>
          </w:tcPr>
          <w:p>
            <w:pPr>
              <w:spacing w:before="0" w:after="0"/>
            </w:pPr>
            <w:r>
              <w:rPr>
                <w:sz w:val="17"/>
              </w:rPr>
              <w:t>TX-to-RX guard</w:t>
            </w:r>
          </w:p>
        </w:tc>
        <w:tc>
          <w:tcPr>
            <w:tcW w:type="dxa" w:w="2880"/>
            <w:vAlign w:val="center"/>
            <w:tcMar>
              <w:top w:w="80" w:type="dxa"/>
              <w:start w:w="100" w:type="dxa"/>
              <w:bottom w:w="80" w:type="dxa"/>
              <w:end w:w="100" w:type="dxa"/>
            </w:tcMar>
          </w:tcPr>
          <w:p>
            <w:pPr>
              <w:spacing w:before="0" w:after="0"/>
            </w:pPr>
            <w:r>
              <w:rPr>
                <w:sz w:val="17"/>
              </w:rPr>
              <w:t>1 us, both outputs low</w:t>
            </w:r>
          </w:p>
        </w:tc>
        <w:tc>
          <w:tcPr>
            <w:tcW w:type="dxa" w:w="4320"/>
            <w:vAlign w:val="center"/>
            <w:tcMar>
              <w:top w:w="80" w:type="dxa"/>
              <w:start w:w="100" w:type="dxa"/>
              <w:bottom w:w="80" w:type="dxa"/>
              <w:end w:w="100" w:type="dxa"/>
            </w:tcMar>
          </w:tcPr>
          <w:p>
            <w:pPr>
              <w:spacing w:before="0" w:after="0"/>
            </w:pPr>
            <w:r>
              <w:rPr>
                <w:sz w:val="17"/>
              </w:rPr>
              <w:t>Non-overlap confirmed with TRM/PA disconnected</w:t>
            </w:r>
          </w:p>
        </w:tc>
      </w:tr>
      <w:tr>
        <w:trPr>
          <w:cantSplit/>
        </w:trPr>
        <w:tc>
          <w:tcPr>
            <w:tcW w:type="dxa" w:w="1944"/>
            <w:vAlign w:val="center"/>
            <w:tcMar>
              <w:top w:w="80" w:type="dxa"/>
              <w:start w:w="100" w:type="dxa"/>
              <w:bottom w:w="80" w:type="dxa"/>
              <w:end w:w="100" w:type="dxa"/>
            </w:tcMar>
          </w:tcPr>
          <w:p>
            <w:pPr>
              <w:spacing w:before="0" w:after="0"/>
            </w:pPr>
            <w:r>
              <w:rPr>
                <w:sz w:val="17"/>
              </w:rPr>
              <w:t>GPIO edge rise</w:t>
            </w:r>
          </w:p>
        </w:tc>
        <w:tc>
          <w:tcPr>
            <w:tcW w:type="dxa" w:w="2880"/>
            <w:vAlign w:val="center"/>
            <w:tcMar>
              <w:top w:w="80" w:type="dxa"/>
              <w:start w:w="100" w:type="dxa"/>
              <w:bottom w:w="80" w:type="dxa"/>
              <w:end w:w="100" w:type="dxa"/>
            </w:tcMar>
          </w:tcPr>
          <w:p>
            <w:pPr>
              <w:spacing w:before="0" w:after="0"/>
            </w:pPr>
            <w:r>
              <w:rPr>
                <w:sz w:val="17"/>
              </w:rPr>
              <w:t>Approximately 100 ns</w:t>
            </w:r>
          </w:p>
        </w:tc>
        <w:tc>
          <w:tcPr>
            <w:tcW w:type="dxa" w:w="4320"/>
            <w:vAlign w:val="center"/>
            <w:tcMar>
              <w:top w:w="80" w:type="dxa"/>
              <w:start w:w="100" w:type="dxa"/>
              <w:bottom w:w="80" w:type="dxa"/>
              <w:end w:w="100" w:type="dxa"/>
            </w:tcMar>
          </w:tcPr>
          <w:p>
            <w:pPr>
              <w:spacing w:before="0" w:after="0"/>
            </w:pPr>
            <w:r>
              <w:rPr>
                <w:sz w:val="17"/>
              </w:rPr>
              <w:t>Adopt 200 ns / 8-sample TX pre-roll</w:t>
            </w:r>
          </w:p>
        </w:tc>
      </w:tr>
    </w:tbl>
    <w:p>
      <w:pPr>
        <w:keepNext/>
        <w:pageBreakBefore w:val="0"/>
        <w:spacing w:before="80" w:after="60"/>
        <w:jc w:val="center"/>
      </w:pPr>
      <w:r>
        <w:drawing>
          <wp:inline xmlns:a="http://schemas.openxmlformats.org/drawingml/2006/main" xmlns:pic="http://schemas.openxmlformats.org/drawingml/2006/picture">
            <wp:extent cx="5806440" cy="3266122"/>
            <wp:docPr id="11" name="Picture 11" descr="Hantek oscilloscope showing the Vanguard X B200mini ATR pulse train at 2.00 kHz PRF and 500 microsecond PRI." title="Hantek oscilloscope showing the Vanguard X B200mini ATR pulse train at 2"/>
            <wp:cNvGraphicFramePr>
              <a:graphicFrameLocks noChangeAspect="1"/>
            </wp:cNvGraphicFramePr>
            <a:graphic>
              <a:graphicData uri="http://schemas.openxmlformats.org/drawingml/2006/picture">
                <pic:pic>
                  <pic:nvPicPr>
                    <pic:cNvPr id="0" name="IMG_5231.jpg"/>
                    <pic:cNvPicPr/>
                  </pic:nvPicPr>
                  <pic:blipFill>
                    <a:blip r:embed="rId25"/>
                    <a:stretch>
                      <a:fillRect/>
                    </a:stretch>
                  </pic:blipFill>
                  <pic:spPr>
                    <a:xfrm>
                      <a:off x="0" y="0"/>
                      <a:ext cx="5806440" cy="3266122"/>
                    </a:xfrm>
                    <a:prstGeom prst="rect"/>
                  </pic:spPr>
                </pic:pic>
              </a:graphicData>
            </a:graphic>
          </wp:inline>
        </w:drawing>
      </w:r>
    </w:p>
    <w:p>
      <w:pPr>
        <w:keepLines/>
        <w:spacing w:before="0" w:after="160"/>
        <w:jc w:val="center"/>
      </w:pPr>
      <w:r>
        <w:rPr>
          <w:i/>
          <w:sz w:val="17"/>
        </w:rPr>
        <w:t>Figure 10. B200mini ATR pulse train at 2.00 kHz PRF (500 us PRI). The display records a 3.32 V logic swing at 100 us/div; yellow is TX ATR and green is RX ATR.</w:t>
      </w:r>
    </w:p>
    <w:p>
      <w:pPr>
        <w:pStyle w:val="Heading3"/>
        <w:pageBreakBefore/>
      </w:pPr>
      <w:r>
        <w:t>14.6.1 Detailed TX-to-RX transition</w:t>
      </w:r>
    </w:p>
    <w:p>
      <w:pPr>
        <w:keepNext/>
        <w:pageBreakBefore w:val="0"/>
        <w:spacing w:before="80" w:after="60"/>
        <w:jc w:val="center"/>
      </w:pPr>
      <w:r>
        <w:drawing>
          <wp:inline xmlns:a="http://schemas.openxmlformats.org/drawingml/2006/main" xmlns:pic="http://schemas.openxmlformats.org/drawingml/2006/picture">
            <wp:extent cx="5806440" cy="3266122"/>
            <wp:docPr id="12" name="Picture 12" descr="Expanded Hantek oscilloscope view showing the approximately 5 microsecond TX ATR interval followed by the RX ATR interval with a one microsecond both-low guard." title="Expanded Hantek oscilloscope view showing the approximately 5 microsecond TX ATR interval followed by the RX ATR interval with a one microsecond both-low guard"/>
            <wp:cNvGraphicFramePr>
              <a:graphicFrameLocks noChangeAspect="1"/>
            </wp:cNvGraphicFramePr>
            <a:graphic>
              <a:graphicData uri="http://schemas.openxmlformats.org/drawingml/2006/picture">
                <pic:pic>
                  <pic:nvPicPr>
                    <pic:cNvPr id="0" name="IMG_5229.jpg"/>
                    <pic:cNvPicPr/>
                  </pic:nvPicPr>
                  <pic:blipFill>
                    <a:blip r:embed="rId26"/>
                    <a:stretch>
                      <a:fillRect/>
                    </a:stretch>
                  </pic:blipFill>
                  <pic:spPr>
                    <a:xfrm>
                      <a:off x="0" y="0"/>
                      <a:ext cx="5806440" cy="3266122"/>
                    </a:xfrm>
                    <a:prstGeom prst="rect"/>
                  </pic:spPr>
                </pic:pic>
              </a:graphicData>
            </a:graphic>
          </wp:inline>
        </w:drawing>
      </w:r>
    </w:p>
    <w:p>
      <w:pPr>
        <w:keepLines/>
        <w:spacing w:before="0" w:after="160"/>
        <w:jc w:val="center"/>
      </w:pPr>
      <w:r>
        <w:rPr>
          <w:i/>
          <w:sz w:val="17"/>
        </w:rPr>
        <w:t>Figure 11. Expanded ATR transition at 20 us/div. The approximately 5 us TX high interval is followed by a measured 1 us both-low guard and an approximately 100 us RX high interval; TRM and PA were disconnected.</w:t>
      </w:r>
    </w:p>
    <w:p>
      <w:r>
        <w:t>Architecture disposition. The approximately 100 ns output-edge rise time is accommodated by an 8-sample/200 ns zero-valued prefix in the timed-TX transport envelope. For Frank10_20MHz this gives 5.2 us TX ATR and 6.2 us RX start. For the operational Golay64 member it gives 3.4 us TX ATR and 4.4 us RX start. WaveformLibrary and matched-filter references exclude the padding; the first non-zero sample remains the RF and range time origin.</w:t>
      </w:r>
    </w:p>
    <w:p>
      <w:pPr>
        <w:pStyle w:val="Heading2"/>
      </w:pPr>
      <w:r>
        <w:t>14.7 Antenna motion within CPI and dwell cadence</w:t>
      </w:r>
    </w:p>
    <w:p>
      <w:pPr/>
      <w:r>
        <w:t>At the verified 20 deg/s scan rate, the X6-60 moves approximately 0.32 degrees during the 16 ms Golay CPI and approximately 2 degrees between 100 ms dwell starts. A 50 ms cadence would nominally give one degree per dwell, but recent end-to-end active-dwell measurements occasionally reach about 52 ms. Therefore 100 ms remains the verified baseline. A 50 ms setting shall be accepted only after sustained profiling demonstrates adequate worst-case margin and correct scheduler behaviour.</w:t>
      </w:r>
    </w:p>
    <w:p>
      <w:r>
        <w:br w:type="page"/>
      </w:r>
    </w:p>
    <w:p>
      <w:pPr>
        <w:pStyle w:val="Heading1"/>
      </w:pPr>
      <w:r>
        <w:t>15. Interfaces and Data Contracts</w:t>
      </w:r>
    </w:p>
    <w:tbl>
      <w:tblPr>
        <w:tblStyle w:val="TableGrid"/>
        <w:tblW w:type="auto" w:w="0"/>
        <w:jc w:val="center"/>
        <w:tblLook w:firstColumn="1" w:firstRow="1" w:lastColumn="0" w:lastRow="0" w:noHBand="0" w:noVBand="1" w:val="04A0"/>
      </w:tblPr>
      <w:tblGrid>
        <w:gridCol w:w="2520"/>
        <w:gridCol w:w="2520"/>
        <w:gridCol w:w="2520"/>
        <w:gridCol w:w="2520"/>
      </w:tblGrid>
      <w:tr>
        <w:trPr>
          <w:tblHeader/>
          <w:cantSplit/>
        </w:trPr>
        <w:tc>
          <w:tcPr>
            <w:tcW w:type="dxa" w:w="2520"/>
            <w:shd w:fill="1F4E79"/>
          </w:tcPr>
          <w:p>
            <w:r>
              <w:rPr>
                <w:b/>
                <w:color w:val="FFFFFF"/>
              </w:rPr>
              <w:t>Interface / object</w:t>
            </w:r>
          </w:p>
        </w:tc>
        <w:tc>
          <w:tcPr>
            <w:tcW w:type="dxa" w:w="2520"/>
            <w:shd w:fill="1F4E79"/>
          </w:tcPr>
          <w:p>
            <w:r>
              <w:rPr>
                <w:b/>
                <w:color w:val="FFFFFF"/>
              </w:rPr>
              <w:t>Producer</w:t>
            </w:r>
          </w:p>
        </w:tc>
        <w:tc>
          <w:tcPr>
            <w:tcW w:type="dxa" w:w="2520"/>
            <w:shd w:fill="1F4E79"/>
          </w:tcPr>
          <w:p>
            <w:r>
              <w:rPr>
                <w:b/>
                <w:color w:val="FFFFFF"/>
              </w:rPr>
              <w:t>Consumer</w:t>
            </w:r>
          </w:p>
        </w:tc>
        <w:tc>
          <w:tcPr>
            <w:tcW w:type="dxa" w:w="2520"/>
            <w:shd w:fill="1F4E79"/>
          </w:tcPr>
          <w:p>
            <w:r>
              <w:rPr>
                <w:b/>
                <w:color w:val="FFFFFF"/>
              </w:rPr>
              <w:t>Responsibility</w:t>
            </w:r>
          </w:p>
        </w:tc>
      </w:tr>
      <w:tr>
        <w:trPr>
          <w:cantSplit/>
        </w:trPr>
        <w:tc>
          <w:tcPr>
            <w:tcW w:type="dxa" w:w="2520"/>
          </w:tcPr>
          <w:p>
            <w:r>
              <w:t>RadarTask</w:t>
            </w:r>
          </w:p>
        </w:tc>
        <w:tc>
          <w:tcPr>
            <w:tcW w:type="dxa" w:w="2520"/>
          </w:tcPr>
          <w:p>
            <w:r>
              <w:t>RadarScheduler</w:t>
            </w:r>
          </w:p>
        </w:tc>
        <w:tc>
          <w:tcPr>
            <w:tcW w:type="dxa" w:w="2520"/>
          </w:tcPr>
          <w:p>
            <w:r>
              <w:t>PointingManager, RadarExecutor</w:t>
            </w:r>
          </w:p>
        </w:tc>
        <w:tc>
          <w:tcPr>
            <w:tcW w:type="dxa" w:w="2520"/>
          </w:tcPr>
          <w:p>
            <w:r>
              <w:t>High-level radar action and constraints.</w:t>
            </w:r>
          </w:p>
        </w:tc>
      </w:tr>
      <w:tr>
        <w:trPr>
          <w:cantSplit/>
        </w:trPr>
        <w:tc>
          <w:tcPr>
            <w:tcW w:type="dxa" w:w="2520"/>
          </w:tcPr>
          <w:p>
            <w:r>
              <w:t>PointingState</w:t>
            </w:r>
          </w:p>
        </w:tc>
        <w:tc>
          <w:tcPr>
            <w:tcW w:type="dxa" w:w="2520"/>
          </w:tcPr>
          <w:p>
            <w:r>
              <w:t>PointingManager</w:t>
            </w:r>
          </w:p>
        </w:tc>
        <w:tc>
          <w:tcPr>
            <w:tcW w:type="dxa" w:w="2520"/>
          </w:tcPr>
          <w:p>
            <w:r>
              <w:t>RadarExecutor, logger, display</w:t>
            </w:r>
          </w:p>
        </w:tc>
        <w:tc>
          <w:tcPr>
            <w:tcW w:type="dxa" w:w="2520"/>
          </w:tcPr>
          <w:p>
            <w:r>
              <w:t>Measured and commanded pointing, readiness and reachability.</w:t>
            </w:r>
          </w:p>
        </w:tc>
      </w:tr>
      <w:tr>
        <w:trPr>
          <w:cantSplit/>
        </w:trPr>
        <w:tc>
          <w:tcPr>
            <w:tcW w:type="dxa" w:w="2520"/>
          </w:tcPr>
          <w:p>
            <w:r>
              <w:t>PulsePlan</w:t>
            </w:r>
          </w:p>
        </w:tc>
        <w:tc>
          <w:tcPr>
            <w:tcW w:type="dxa" w:w="2520"/>
          </w:tcPr>
          <w:p>
            <w:r>
              <w:t>Execution profile / RadarExecutor</w:t>
            </w:r>
          </w:p>
        </w:tc>
        <w:tc>
          <w:tcPr>
            <w:tcW w:type="dxa" w:w="2520"/>
          </w:tcPr>
          <w:p>
            <w:r>
              <w:t>RadarSource, RadarProcessor</w:t>
            </w:r>
          </w:p>
        </w:tc>
        <w:tc>
          <w:tcPr>
            <w:tcW w:type="dxa" w:w="2520"/>
          </w:tcPr>
          <w:p>
            <w:r>
              <w:t>Per-pulse timing, waveform and receive intent.</w:t>
            </w:r>
          </w:p>
        </w:tc>
      </w:tr>
      <w:tr>
        <w:trPr>
          <w:cantSplit/>
        </w:trPr>
        <w:tc>
          <w:tcPr>
            <w:tcW w:type="dxa" w:w="2520"/>
          </w:tcPr>
          <w:p>
            <w:r>
              <w:t>DwellPlan</w:t>
            </w:r>
          </w:p>
        </w:tc>
        <w:tc>
          <w:tcPr>
            <w:tcW w:type="dxa" w:w="2520"/>
          </w:tcPr>
          <w:p>
            <w:r>
              <w:t>RadarExecutor</w:t>
            </w:r>
          </w:p>
        </w:tc>
        <w:tc>
          <w:tcPr>
            <w:tcW w:type="dxa" w:w="2520"/>
          </w:tcPr>
          <w:p>
            <w:r>
              <w:t>RadarSource, RadarProcessor</w:t>
            </w:r>
          </w:p>
        </w:tc>
        <w:tc>
          <w:tcPr>
            <w:tcW w:type="dxa" w:w="2520"/>
          </w:tcPr>
          <w:p>
            <w:r>
              <w:t>Complete executable radar action.</w:t>
            </w:r>
          </w:p>
        </w:tc>
      </w:tr>
      <w:tr>
        <w:trPr>
          <w:cantSplit/>
        </w:trPr>
        <w:tc>
          <w:tcPr>
            <w:tcW w:type="dxa" w:w="2520"/>
          </w:tcPr>
          <w:p>
            <w:r>
              <w:t>ExecutionResult</w:t>
            </w:r>
          </w:p>
        </w:tc>
        <w:tc>
          <w:tcPr>
            <w:tcW w:type="dxa" w:w="2520"/>
          </w:tcPr>
          <w:p>
            <w:r>
              <w:t>RadarExecutor</w:t>
            </w:r>
          </w:p>
        </w:tc>
        <w:tc>
          <w:tcPr>
            <w:tcW w:type="dxa" w:w="2520"/>
          </w:tcPr>
          <w:p>
            <w:r>
              <w:t>Main loop</w:t>
            </w:r>
          </w:p>
        </w:tc>
        <w:tc>
          <w:tcPr>
            <w:tcW w:type="dxa" w:w="2520"/>
          </w:tcPr>
          <w:p>
            <w:r>
              <w:t>DwellPlan, RawDwellData, pointing and diagnostics.</w:t>
            </w:r>
          </w:p>
        </w:tc>
      </w:tr>
      <w:tr>
        <w:trPr>
          <w:cantSplit/>
        </w:trPr>
        <w:tc>
          <w:tcPr>
            <w:tcW w:type="dxa" w:w="2520"/>
          </w:tcPr>
          <w:p>
            <w:r>
              <w:t>RawDwellData</w:t>
            </w:r>
          </w:p>
        </w:tc>
        <w:tc>
          <w:tcPr>
            <w:tcW w:type="dxa" w:w="2520"/>
          </w:tcPr>
          <w:p>
            <w:r>
              <w:t>RadarSource</w:t>
            </w:r>
          </w:p>
        </w:tc>
        <w:tc>
          <w:tcPr>
            <w:tcW w:type="dxa" w:w="2520"/>
          </w:tcPr>
          <w:p>
            <w:r>
              <w:t>RadarProcessor</w:t>
            </w:r>
          </w:p>
        </w:tc>
        <w:tc>
          <w:tcPr>
            <w:tcW w:type="dxa" w:w="2520"/>
          </w:tcPr>
          <w:p>
            <w:r>
              <w:t>Pulse-by-sample complex IQ with validity metadata.</w:t>
            </w:r>
          </w:p>
        </w:tc>
      </w:tr>
      <w:tr>
        <w:trPr>
          <w:cantSplit/>
        </w:trPr>
        <w:tc>
          <w:tcPr>
            <w:tcW w:type="dxa" w:w="2520"/>
          </w:tcPr>
          <w:p>
            <w:r>
              <w:t>ProcessedDwellData</w:t>
            </w:r>
          </w:p>
        </w:tc>
        <w:tc>
          <w:tcPr>
            <w:tcW w:type="dxa" w:w="2520"/>
          </w:tcPr>
          <w:p>
            <w:r>
              <w:t>RadarProcessor</w:t>
            </w:r>
          </w:p>
        </w:tc>
        <w:tc>
          <w:tcPr>
            <w:tcW w:type="dxa" w:w="2520"/>
          </w:tcPr>
          <w:p>
            <w:r>
              <w:t>Detector, Tracker, Display</w:t>
            </w:r>
          </w:p>
        </w:tc>
        <w:tc>
          <w:tcPr>
            <w:tcW w:type="dxa" w:w="2520"/>
          </w:tcPr>
          <w:p>
            <w:r>
              <w:t>Range-Doppler products and processing metadata.</w:t>
            </w:r>
          </w:p>
        </w:tc>
      </w:tr>
      <w:tr>
        <w:trPr>
          <w:cantSplit/>
        </w:trPr>
        <w:tc>
          <w:tcPr>
            <w:tcW w:type="dxa" w:w="2520"/>
          </w:tcPr>
          <w:p>
            <w:r>
              <w:t>RevisitRequest</w:t>
            </w:r>
          </w:p>
        </w:tc>
        <w:tc>
          <w:tcPr>
            <w:tcW w:type="dxa" w:w="2520"/>
          </w:tcPr>
          <w:p>
            <w:r>
              <w:t>Tracker</w:t>
            </w:r>
          </w:p>
        </w:tc>
        <w:tc>
          <w:tcPr>
            <w:tcW w:type="dxa" w:w="2520"/>
          </w:tcPr>
          <w:p>
            <w:r>
              <w:t>RadarScheduler</w:t>
            </w:r>
          </w:p>
        </w:tc>
        <w:tc>
          <w:tcPr>
            <w:tcW w:type="dxa" w:w="2520"/>
          </w:tcPr>
          <w:p>
            <w:r>
              <w:t>Requested future observation of a track.</w:t>
            </w:r>
          </w:p>
        </w:tc>
      </w:tr>
      <w:tr>
        <w:trPr>
          <w:cantSplit/>
        </w:trPr>
        <w:tc>
          <w:tcPr>
            <w:tcW w:type="dxa" w:w="2520"/>
          </w:tcPr>
          <w:p>
            <w:r>
              <w:t>X6-60 state</w:t>
            </w:r>
          </w:p>
        </w:tc>
        <w:tc>
          <w:tcPr>
            <w:tcW w:type="dxa" w:w="2520"/>
          </w:tcPr>
          <w:p>
            <w:r>
              <w:t>X660 controller</w:t>
            </w:r>
          </w:p>
        </w:tc>
        <w:tc>
          <w:tcPr>
            <w:tcW w:type="dxa" w:w="2520"/>
          </w:tcPr>
          <w:p>
            <w:r>
              <w:t>PointingManager, logger, display</w:t>
            </w:r>
          </w:p>
        </w:tc>
        <w:tc>
          <w:tcPr>
            <w:tcW w:type="dxa" w:w="2520"/>
          </w:tcPr>
          <w:p>
            <w:r>
              <w:t>Measured North-relative azimuth, raw angle, rate, validity and target state.</w:t>
            </w:r>
          </w:p>
        </w:tc>
      </w:tr>
    </w:tbl>
    <w:p>
      <w:pPr>
        <w:pStyle w:val="Heading2"/>
      </w:pPr>
      <w:r>
        <w:t>15.1 Required execution metadata</w:t>
      </w:r>
    </w:p>
    <w:p>
      <w:pPr>
        <w:pStyle w:val="ListBullet"/>
      </w:pPr>
      <w:r>
        <w:t>DwellId, TaskId, TaskType and optional TrackId.</w:t>
      </w:r>
    </w:p>
    <w:p>
      <w:pPr>
        <w:pStyle w:val="ListBullet"/>
      </w:pPr>
      <w:r>
        <w:t>Requested and measured pointing.</w:t>
      </w:r>
    </w:p>
    <w:p>
      <w:pPr>
        <w:pStyle w:val="ListBullet"/>
      </w:pPr>
      <w:r>
        <w:t>Platform attitude and true beam bearing.</w:t>
      </w:r>
    </w:p>
    <w:p>
      <w:pPr>
        <w:pStyle w:val="ListBullet"/>
      </w:pPr>
      <w:r>
        <w:t>Pulse waveform identifiers and requested/actual pulse times.</w:t>
      </w:r>
    </w:p>
    <w:p>
      <w:pPr>
        <w:pStyle w:val="ListBullet"/>
      </w:pPr>
      <w:r>
        <w:t>Waveform chip count, chip rate, samples per chip, sampled waveform length and pulse duration.</w:t>
      </w:r>
    </w:p>
    <w:p>
      <w:pPr>
        <w:pStyle w:val="ListBullet"/>
      </w:pPr>
      <w:r>
        <w:t>Selected PRF, derived PRI, pulses per CPI and calculated CPI duration.</w:t>
      </w:r>
    </w:p>
    <w:p>
      <w:pPr>
        <w:pStyle w:val="ListBullet"/>
      </w:pPr>
      <w:r>
        <w:t>Receive-window start delay, receive sample count, maximum instrumented range and range-axis offset.</w:t>
      </w:r>
    </w:p>
    <w:p>
      <w:pPr>
        <w:pStyle w:val="ListBullet"/>
      </w:pPr>
      <w:r>
        <w:t>Requested and validated timing margins, including provisional or measured status.</w:t>
      </w:r>
    </w:p>
    <w:p>
      <w:pPr>
        <w:pStyle w:val="ListBullet"/>
      </w:pPr>
      <w:r>
        <w:t>TRM settings and source configuration.</w:t>
      </w:r>
    </w:p>
    <w:p>
      <w:pPr>
        <w:pStyle w:val="ListBullet"/>
      </w:pPr>
      <w:r>
        <w:t>Dropped-sample, overflow, timeout and late-command flags.</w:t>
      </w:r>
    </w:p>
    <w:p>
      <w:pPr>
        <w:pStyle w:val="ListBullet"/>
      </w:pPr>
      <w:r>
        <w:t>Processing mode and adaptation reason.</w:t>
      </w:r>
    </w:p>
    <w:p>
      <w:pPr>
        <w:pStyle w:val="Heading2"/>
      </w:pPr>
      <w:r>
        <w:t>15.2 Compatibility rule</w:t>
      </w:r>
    </w:p>
    <w:p>
      <w:r>
        <w:t>Hardware and simulation sources shall return compatible RawDwellData. Downstream code shall not branch on source type except for source-specific diagnostics and operator display.</w:t>
      </w:r>
    </w:p>
    <w:p>
      <w:pPr>
        <w:pStyle w:val="Heading1"/>
      </w:pPr>
      <w:r>
        <w:t>16. Diagnostics and Fault Handling</w:t>
      </w:r>
    </w:p>
    <w:p>
      <w:pPr>
        <w:pStyle w:val="Heading2"/>
      </w:pPr>
      <w:r>
        <w:t>16.1 SDR diagnostics</w:t>
      </w:r>
    </w:p>
    <w:p>
      <w:pPr>
        <w:pStyle w:val="ListBullet"/>
      </w:pPr>
      <w:r>
        <w:t>LateCommandCount.</w:t>
      </w:r>
    </w:p>
    <w:p>
      <w:pPr>
        <w:pStyle w:val="ListBullet"/>
      </w:pPr>
      <w:r>
        <w:t>TimeoutCount.</w:t>
      </w:r>
    </w:p>
    <w:p>
      <w:pPr>
        <w:pStyle w:val="ListBullet"/>
      </w:pPr>
      <w:r>
        <w:t>OverflowCount.</w:t>
      </w:r>
    </w:p>
    <w:p>
      <w:pPr>
        <w:pStyle w:val="ListBullet"/>
      </w:pPr>
      <w:r>
        <w:t>ReceivedSamples per pulse and dwell.</w:t>
      </w:r>
    </w:p>
    <w:p>
      <w:pPr>
        <w:pStyle w:val="ListBullet"/>
      </w:pPr>
      <w:r>
        <w:t>ValidPulseMask.</w:t>
      </w:r>
    </w:p>
    <w:p>
      <w:pPr>
        <w:pStyle w:val="ListBullet"/>
      </w:pPr>
      <w:r>
        <w:t>Scheduled first and last hardware times.</w:t>
      </w:r>
    </w:p>
    <w:p>
      <w:pPr>
        <w:pStyle w:val="ListBullet"/>
      </w:pPr>
      <w:r>
        <w:t>Actual collection duration.</w:t>
      </w:r>
    </w:p>
    <w:p>
      <w:pPr>
        <w:pStyle w:val="ListBullet"/>
      </w:pPr>
      <w:r>
        <w:t>Configured and maximum outstanding finite TX/RX command depth.</w:t>
      </w:r>
    </w:p>
    <w:p>
      <w:pPr>
        <w:pStyle w:val="ListBullet"/>
      </w:pPr>
      <w:r>
        <w:t>TX send count, burst acknowledgement count and asynchronous underflow/time/sequence events.</w:t>
      </w:r>
    </w:p>
    <w:p>
      <w:pPr>
        <w:pStyle w:val="ListBullet"/>
      </w:pPr>
      <w:r>
        <w:t>CommandLeadTimeAppliedOncePerDwell flag.</w:t>
      </w:r>
    </w:p>
    <w:p>
      <w:pPr>
        <w:pStyle w:val="Heading2"/>
      </w:pPr>
      <w:r>
        <w:t>16.2 Fault policy</w:t>
      </w:r>
    </w:p>
    <w:p>
      <w:r>
        <w:t>A single invalid pulse may be marked invalid while preserving the dwell for diagnostic processing. Repeated late commands, overflows or timeouts shall cause the dwell to fail and be reported to RadarExecutor. The scheduler may retry, defer the task or enter a safe mode according to future policy.</w:t>
      </w:r>
    </w:p>
    <w:p>
      <w:pPr>
        <w:pStyle w:val="Heading2"/>
      </w:pPr>
      <w:r>
        <w:t>16.3 Shutdown</w:t>
      </w:r>
    </w:p>
    <w:p>
      <w:r>
        <w:t>Shutdown shall stop active streaming, release the UHD streamer and device references, close pointing and TRM interfaces and permit the Qt application to terminate cleanly. Exceptions during shutdown shall be logged without preventing remaining resources from being released.</w:t>
      </w:r>
    </w:p>
    <w:p>
      <w:pPr>
        <w:pStyle w:val="Heading2"/>
      </w:pPr>
      <w:r>
        <w:t>16.4 X6-60 and SocketCAN faults</w:t>
      </w:r>
    </w:p>
    <w:p>
      <w:pPr/>
      <w:r>
        <w:t>The live X6-60 controller shall reject startup when can0 is absent, DOWN or not configured for 1 Mbit/s, when encoder telemetry is invalid, or when the required motion acknowledgements are absent. Startup failure shall not fall through into a simulated or limited-azimuth controller. Runtime CAN timeouts and malformed replies shall fail the current pointing action, preserve diagnostics and drive the system toward STOP/hold and clean bus release.</w:t>
      </w:r>
    </w:p>
    <w:p>
      <w:pPr>
        <w:pStyle w:val="Heading1"/>
      </w:pPr>
      <w:r>
        <w:t>17. Verification Strategy</w:t>
      </w:r>
    </w:p>
    <w:p>
      <w:pPr>
        <w:jc w:val="center"/>
      </w:pPr>
      <w:r>
        <w:drawing>
          <wp:inline xmlns:a="http://schemas.openxmlformats.org/drawingml/2006/main" xmlns:pic="http://schemas.openxmlformats.org/drawingml/2006/picture">
            <wp:extent cx="6309360" cy="3379518"/>
            <wp:docPr id="7" name="Picture 7"/>
            <wp:cNvGraphicFramePr>
              <a:graphicFrameLocks noChangeAspect="1"/>
            </wp:cNvGraphicFramePr>
            <a:graphic>
              <a:graphicData uri="http://schemas.openxmlformats.org/drawingml/2006/picture">
                <pic:pic>
                  <pic:nvPicPr>
                    <pic:cNvPr id="0" name="fig7_verification.png"/>
                    <pic:cNvPicPr/>
                  </pic:nvPicPr>
                  <pic:blipFill>
                    <a:blip r:embed="rId17"/>
                    <a:stretch>
                      <a:fillRect/>
                    </a:stretch>
                  </pic:blipFill>
                  <pic:spPr>
                    <a:xfrm>
                      <a:off x="0" y="0"/>
                      <a:ext cx="6309360" cy="3379518"/>
                    </a:xfrm>
                    <a:prstGeom prst="rect"/>
                  </pic:spPr>
                </pic:pic>
              </a:graphicData>
            </a:graphic>
          </wp:inline>
        </w:drawing>
      </w:r>
    </w:p>
    <w:p>
      <w:pPr>
        <w:jc w:val="center"/>
      </w:pPr>
      <w:r>
        <w:t>Figure 12. Verification maturity progression.</w:t>
      </w:r>
    </w:p>
    <w:p>
      <w:pPr>
        <w:pStyle w:val="Heading2"/>
      </w:pPr>
      <w:r>
        <w:t>17.1 Simulation-first rule</w:t>
      </w:r>
    </w:p>
    <w:p>
      <w:r>
        <w:t>Major architectural behaviour is validated with SimulatedSource, the simulated X6-60 controller and SimulatedNavigationSource before hardware changes. Hardware implementations replace interfaces rather than reshape the architecture. Legacy class names containing PTZ may remain where needed for source compatibility.</w:t>
      </w:r>
    </w:p>
    <w:p>
      <w:pPr>
        <w:pStyle w:val="Heading2"/>
      </w:pPr>
      <w:r>
        <w:t>17.2 Completed verification through Version 0.8</w:t>
      </w:r>
    </w:p>
    <w:p>
      <w:pPr>
        <w:pStyle w:val="ListBullet"/>
      </w:pPr>
      <w:r>
        <w:t>UHD Python bindings load under the selected non-Snap Python environment and the B200mini is detected over USB3.</w:t>
      </w:r>
    </w:p>
    <w:p>
      <w:pPr>
        <w:pStyle w:val="ListBullet"/>
      </w:pPr>
      <w:r>
        <w:t>Depth-20 timed TX/RX stress execution passes 10/10 dwells at 4 kHz/128 pulses with complete send, acknowledgement and receive accounting.</w:t>
      </w:r>
    </w:p>
    <w:p>
      <w:pPr>
        <w:pStyle w:val="ListBullet"/>
      </w:pPr>
      <w:r>
        <w:t>Golay64_20MHz is implemented as strict A-then-B physical pulses with 64 pulses, 32 complementary outputs and post-combination Doppler processing.</w:t>
      </w:r>
    </w:p>
    <w:p>
      <w:pPr>
        <w:pStyle w:val="ListBullet"/>
      </w:pPr>
      <w:r>
        <w:t>Operational Golay timing is 4 kHz physical PRF, 250 us PRI, 64 pulses, 16 ms CPI, 3.4 us TX ATR envelope and 4.4 us RX start.</w:t>
      </w:r>
    </w:p>
    <w:p>
      <w:pPr>
        <w:pStyle w:val="ListBullet"/>
      </w:pPr>
      <w:r>
        <w:t>Protected loopback and one-shot Golay diagnostics confirm coherent A/B capture without clipping; measured gain/phase balance and combined sidelobes are retained as test evidence.</w:t>
      </w:r>
    </w:p>
    <w:p>
      <w:pPr>
        <w:pStyle w:val="ListBullet"/>
      </w:pPr>
      <w:r>
        <w:t>X6-60 absolute multi-turn telemetry, North calibration, clockwise-positive mapping, guarded motion commands, sector reversal, STARE/goto, nudging and clean shutdown have been exercised on hardware.</w:t>
      </w:r>
    </w:p>
    <w:p>
      <w:pPr>
        <w:pStyle w:val="ListBullet"/>
      </w:pPr>
      <w:r>
        <w:t>The operational X6-60 adopts the current encoder pose without startup motion, scans at approximately 20 deg/s and advances approximately 2 degrees per verified 100 ms dwell.</w:t>
      </w:r>
    </w:p>
    <w:p>
      <w:pPr>
        <w:pStyle w:val="Heading2"/>
      </w:pPr>
      <w:r>
        <w:t>17.3 Remaining integration and high-power verification</w:t>
      </w:r>
    </w:p>
    <w:p>
      <w:pPr>
        <w:pStyle w:val="ListBullet"/>
      </w:pPr>
      <w:r>
        <w:t>Integrate the already proven guarded timed TX/RX loopback source with the live moving X6-60 in the full scheduler and verify displayed target bearing against measured encoder bearing.</w:t>
      </w:r>
    </w:p>
    <w:p>
      <w:pPr>
        <w:pStyle w:val="ListBullet"/>
      </w:pPr>
      <w:r>
        <w:t>Measure the complete TRM switching, PA sequencing and receiver recovery path before connecting or enabling the 50 W RF chain.</w:t>
      </w:r>
    </w:p>
    <w:p>
      <w:pPr>
        <w:pStyle w:val="ListBullet"/>
      </w:pPr>
      <w:r>
        <w:t>Verify first-pulse SDR timestamps against scheduler cadence over sustained runs and confirm no accumulated drift.</w:t>
      </w:r>
    </w:p>
    <w:p>
      <w:pPr>
        <w:pStyle w:val="ListBullet"/>
      </w:pPr>
      <w:r>
        <w:t>Re-verify the active Golay 3.4 us TX ATR envelope and 4.4 us RX start on the CRO when preparing the external TRM integration stage.</w:t>
      </w:r>
    </w:p>
    <w:p>
      <w:pPr>
        <w:pStyle w:val="ListBullet"/>
      </w:pPr>
      <w:r>
        <w:t>Verify operational range calibration separately from the 629.6 m receive-start offset and the 166-sample protected cable-loopback delay.</w:t>
      </w:r>
    </w:p>
    <w:p>
      <w:pPr>
        <w:pStyle w:val="Heading1"/>
      </w:pPr>
      <w:r>
        <w:t>18. Requirements Traceability</w:t>
      </w:r>
    </w:p>
    <w:tbl>
      <w:tblPr>
        <w:tblStyle w:val="TableGrid"/>
        <w:tblW w:type="dxa" w:w="9840"/>
        <w:jc w:val="left"/>
        <w:tblLayout w:type="fixed"/>
        <w:tblLook w:firstColumn="1" w:firstRow="1" w:lastColumn="0" w:lastRow="0" w:noHBand="0" w:noVBand="1" w:val="04A0"/>
        <w:tblInd w:type="dxa" w:w="120"/>
      </w:tblPr>
      <w:tblGrid>
        <w:gridCol w:w="1250"/>
        <w:gridCol w:w="2600"/>
        <w:gridCol w:w="1400"/>
        <w:gridCol w:w="2300"/>
        <w:gridCol w:w="2290"/>
      </w:tblGrid>
      <w:tr>
        <w:trPr>
          <w:tblHeader/>
          <w:cantSplit/>
          <w:tblHeader w:val="true"/>
        </w:trPr>
        <w:tc>
          <w:tcPr>
            <w:tcW w:type="dxa" w:w="1250"/>
            <w:shd w:fill="1F4E79"/>
            <w:vAlign w:val="center"/>
            <w:tcMar>
              <w:top w:w="80" w:type="dxa"/>
              <w:bottom w:w="80" w:type="dxa"/>
              <w:start w:w="100" w:type="dxa"/>
              <w:end w:w="100" w:type="dxa"/>
            </w:tcMar>
          </w:tcPr>
          <w:p>
            <w:pPr>
              <w:spacing w:before="0" w:after="0" w:line="240" w:lineRule="auto"/>
              <w:jc w:val="left"/>
            </w:pPr>
            <w:r>
              <w:rPr>
                <w:b/>
                <w:color w:val="FFFFFF"/>
                <w:sz w:val="17"/>
              </w:rPr>
              <w:t>Requirement</w:t>
            </w:r>
          </w:p>
        </w:tc>
        <w:tc>
          <w:tcPr>
            <w:tcW w:type="dxa" w:w="2600"/>
            <w:shd w:fill="1F4E79"/>
            <w:vAlign w:val="center"/>
            <w:tcMar>
              <w:top w:w="80" w:type="dxa"/>
              <w:bottom w:w="80" w:type="dxa"/>
              <w:start w:w="100" w:type="dxa"/>
              <w:end w:w="100" w:type="dxa"/>
            </w:tcMar>
          </w:tcPr>
          <w:p>
            <w:pPr>
              <w:spacing w:before="0" w:after="0" w:line="240" w:lineRule="auto"/>
              <w:jc w:val="left"/>
            </w:pPr>
            <w:r>
              <w:rPr>
                <w:b/>
                <w:color w:val="FFFFFF"/>
                <w:sz w:val="17"/>
              </w:rPr>
              <w:t>Statement</w:t>
            </w:r>
          </w:p>
        </w:tc>
        <w:tc>
          <w:tcPr>
            <w:tcW w:type="dxa" w:w="1400"/>
            <w:shd w:fill="1F4E79"/>
            <w:vAlign w:val="center"/>
            <w:tcMar>
              <w:top w:w="80" w:type="dxa"/>
              <w:bottom w:w="80" w:type="dxa"/>
              <w:start w:w="100" w:type="dxa"/>
              <w:end w:w="100" w:type="dxa"/>
            </w:tcMar>
          </w:tcPr>
          <w:p>
            <w:pPr>
              <w:spacing w:before="0" w:after="0" w:line="240" w:lineRule="auto"/>
              <w:jc w:val="left"/>
            </w:pPr>
            <w:r>
              <w:rPr>
                <w:b/>
                <w:color w:val="FFFFFF"/>
                <w:sz w:val="17"/>
              </w:rPr>
              <w:t>Architecture</w:t>
            </w:r>
          </w:p>
        </w:tc>
        <w:tc>
          <w:tcPr>
            <w:tcW w:type="dxa" w:w="2300"/>
            <w:shd w:fill="1F4E79"/>
            <w:vAlign w:val="center"/>
            <w:tcMar>
              <w:top w:w="80" w:type="dxa"/>
              <w:bottom w:w="80" w:type="dxa"/>
              <w:start w:w="100" w:type="dxa"/>
              <w:end w:w="100" w:type="dxa"/>
            </w:tcMar>
          </w:tcPr>
          <w:p>
            <w:pPr>
              <w:spacing w:before="0" w:after="0" w:line="240" w:lineRule="auto"/>
              <w:jc w:val="left"/>
            </w:pPr>
            <w:r>
              <w:rPr>
                <w:b/>
                <w:color w:val="FFFFFF"/>
                <w:sz w:val="17"/>
              </w:rPr>
              <w:t>Implementation</w:t>
            </w:r>
          </w:p>
        </w:tc>
        <w:tc>
          <w:tcPr>
            <w:tcW w:type="dxa" w:w="2290"/>
            <w:shd w:fill="1F4E79"/>
            <w:vAlign w:val="center"/>
            <w:tcMar>
              <w:top w:w="80" w:type="dxa"/>
              <w:bottom w:w="80" w:type="dxa"/>
              <w:start w:w="100" w:type="dxa"/>
              <w:end w:w="100" w:type="dxa"/>
            </w:tcMar>
          </w:tcPr>
          <w:p>
            <w:pPr>
              <w:spacing w:before="0" w:after="0" w:line="240" w:lineRule="auto"/>
              <w:jc w:val="left"/>
            </w:pPr>
            <w:r>
              <w:rPr>
                <w:b/>
                <w:color w:val="FFFFFF"/>
                <w:sz w:val="17"/>
              </w:rPr>
              <w:t>Verification</w:t>
            </w:r>
          </w:p>
        </w:tc>
      </w:tr>
      <w:tr>
        <w:trPr>
          <w:cantSplit/>
        </w:trPr>
        <w:tc>
          <w:tcPr>
            <w:tcW w:type="dxa" w:w="1250"/>
            <w:vAlign w:val="center"/>
            <w:tcMar>
              <w:top w:w="80" w:type="dxa"/>
              <w:bottom w:w="80" w:type="dxa"/>
              <w:start w:w="100" w:type="dxa"/>
              <w:end w:w="100" w:type="dxa"/>
            </w:tcMar>
          </w:tcPr>
          <w:p>
            <w:pPr>
              <w:spacing w:before="0" w:after="0" w:line="240" w:lineRule="auto"/>
              <w:jc w:val="left"/>
            </w:pPr>
            <w:r>
              <w:rPr>
                <w:b w:val="0"/>
                <w:sz w:val="17"/>
              </w:rPr>
              <w:t>VX-SYS-001</w:t>
            </w:r>
          </w:p>
        </w:tc>
        <w:tc>
          <w:tcPr>
            <w:tcW w:type="dxa" w:w="2600"/>
            <w:vAlign w:val="center"/>
            <w:tcMar>
              <w:top w:w="80" w:type="dxa"/>
              <w:bottom w:w="80" w:type="dxa"/>
              <w:start w:w="100" w:type="dxa"/>
              <w:end w:w="100" w:type="dxa"/>
            </w:tcMar>
          </w:tcPr>
          <w:p>
            <w:pPr>
              <w:spacing w:before="0" w:after="0" w:line="240" w:lineRule="auto"/>
              <w:jc w:val="left"/>
            </w:pPr>
            <w:r>
              <w:rPr>
                <w:b w:val="0"/>
                <w:sz w:val="17"/>
              </w:rPr>
              <w:t>Simulation and hardware sources shall use a common operational interface.</w:t>
            </w:r>
          </w:p>
        </w:tc>
        <w:tc>
          <w:tcPr>
            <w:tcW w:type="dxa" w:w="1400"/>
            <w:vAlign w:val="center"/>
            <w:tcMar>
              <w:top w:w="80" w:type="dxa"/>
              <w:bottom w:w="80" w:type="dxa"/>
              <w:start w:w="100" w:type="dxa"/>
              <w:end w:w="100" w:type="dxa"/>
            </w:tcMar>
          </w:tcPr>
          <w:p>
            <w:pPr>
              <w:spacing w:before="0" w:after="0" w:line="240" w:lineRule="auto"/>
              <w:jc w:val="left"/>
            </w:pPr>
            <w:r>
              <w:rPr>
                <w:b w:val="0"/>
                <w:sz w:val="17"/>
              </w:rPr>
              <w:t>Sections 4, 9, 15</w:t>
            </w:r>
          </w:p>
        </w:tc>
        <w:tc>
          <w:tcPr>
            <w:tcW w:type="dxa" w:w="2300"/>
            <w:vAlign w:val="center"/>
            <w:tcMar>
              <w:top w:w="80" w:type="dxa"/>
              <w:bottom w:w="80" w:type="dxa"/>
              <w:start w:w="100" w:type="dxa"/>
              <w:end w:w="100" w:type="dxa"/>
            </w:tcMar>
          </w:tcPr>
          <w:p>
            <w:pPr>
              <w:spacing w:before="0" w:after="0" w:line="240" w:lineRule="auto"/>
              <w:jc w:val="left"/>
            </w:pPr>
            <w:r>
              <w:rPr>
                <w:b w:val="0"/>
                <w:sz w:val="17"/>
              </w:rPr>
              <w:t>SimulatedSource.py; EttusRadarSource.py</w:t>
            </w:r>
          </w:p>
        </w:tc>
        <w:tc>
          <w:tcPr>
            <w:tcW w:type="dxa" w:w="2290"/>
            <w:vAlign w:val="center"/>
            <w:tcMar>
              <w:top w:w="80" w:type="dxa"/>
              <w:bottom w:w="80" w:type="dxa"/>
              <w:start w:w="100" w:type="dxa"/>
              <w:end w:w="100" w:type="dxa"/>
            </w:tcMar>
          </w:tcPr>
          <w:p>
            <w:pPr>
              <w:spacing w:before="0" w:after="0" w:line="240" w:lineRule="auto"/>
              <w:jc w:val="left"/>
            </w:pPr>
            <w:r>
              <w:rPr>
                <w:b w:val="0"/>
                <w:sz w:val="17"/>
              </w:rPr>
              <w:t>Source regression tests</w:t>
            </w:r>
          </w:p>
        </w:tc>
      </w:tr>
      <w:tr>
        <w:trPr>
          <w:cantSplit/>
        </w:trPr>
        <w:tc>
          <w:tcPr>
            <w:tcW w:type="dxa" w:w="1250"/>
            <w:vAlign w:val="center"/>
            <w:tcMar>
              <w:top w:w="80" w:type="dxa"/>
              <w:bottom w:w="80" w:type="dxa"/>
              <w:start w:w="100" w:type="dxa"/>
              <w:end w:w="100" w:type="dxa"/>
            </w:tcMar>
          </w:tcPr>
          <w:p>
            <w:pPr>
              <w:spacing w:before="0" w:after="0" w:line="240" w:lineRule="auto"/>
              <w:jc w:val="left"/>
            </w:pPr>
            <w:r>
              <w:rPr>
                <w:b w:val="0"/>
                <w:sz w:val="17"/>
              </w:rPr>
              <w:t>VX-SYS-002</w:t>
            </w:r>
          </w:p>
        </w:tc>
        <w:tc>
          <w:tcPr>
            <w:tcW w:type="dxa" w:w="2600"/>
            <w:vAlign w:val="center"/>
            <w:tcMar>
              <w:top w:w="80" w:type="dxa"/>
              <w:bottom w:w="80" w:type="dxa"/>
              <w:start w:w="100" w:type="dxa"/>
              <w:end w:w="100" w:type="dxa"/>
            </w:tcMar>
          </w:tcPr>
          <w:p>
            <w:pPr>
              <w:spacing w:before="0" w:after="0" w:line="240" w:lineRule="auto"/>
              <w:jc w:val="left"/>
            </w:pPr>
            <w:r>
              <w:rPr>
                <w:b w:val="0"/>
                <w:sz w:val="17"/>
              </w:rPr>
              <w:t>Only one component shall command antenna movement.</w:t>
            </w:r>
          </w:p>
        </w:tc>
        <w:tc>
          <w:tcPr>
            <w:tcW w:type="dxa" w:w="1400"/>
            <w:vAlign w:val="center"/>
            <w:tcMar>
              <w:top w:w="80" w:type="dxa"/>
              <w:bottom w:w="80" w:type="dxa"/>
              <w:start w:w="100" w:type="dxa"/>
              <w:end w:w="100" w:type="dxa"/>
            </w:tcMar>
          </w:tcPr>
          <w:p>
            <w:pPr>
              <w:spacing w:before="0" w:after="0" w:line="240" w:lineRule="auto"/>
              <w:jc w:val="left"/>
            </w:pPr>
            <w:r>
              <w:rPr>
                <w:b w:val="0"/>
                <w:sz w:val="17"/>
              </w:rPr>
              <w:t>Section 8</w:t>
            </w:r>
          </w:p>
        </w:tc>
        <w:tc>
          <w:tcPr>
            <w:tcW w:type="dxa" w:w="2300"/>
            <w:vAlign w:val="center"/>
            <w:tcMar>
              <w:top w:w="80" w:type="dxa"/>
              <w:bottom w:w="80" w:type="dxa"/>
              <w:start w:w="100" w:type="dxa"/>
              <w:end w:w="100" w:type="dxa"/>
            </w:tcMar>
          </w:tcPr>
          <w:p>
            <w:pPr>
              <w:spacing w:before="0" w:after="0" w:line="240" w:lineRule="auto"/>
              <w:jc w:val="left"/>
            </w:pPr>
            <w:r>
              <w:rPr>
                <w:b w:val="0"/>
                <w:sz w:val="17"/>
              </w:rPr>
              <w:t>PointingManager.py</w:t>
            </w:r>
          </w:p>
        </w:tc>
        <w:tc>
          <w:tcPr>
            <w:tcW w:type="dxa" w:w="2290"/>
            <w:vAlign w:val="center"/>
            <w:tcMar>
              <w:top w:w="80" w:type="dxa"/>
              <w:bottom w:w="80" w:type="dxa"/>
              <w:start w:w="100" w:type="dxa"/>
              <w:end w:w="100" w:type="dxa"/>
            </w:tcMar>
          </w:tcPr>
          <w:p>
            <w:pPr>
              <w:spacing w:before="0" w:after="0" w:line="240" w:lineRule="auto"/>
              <w:jc w:val="left"/>
            </w:pPr>
            <w:r>
              <w:rPr>
                <w:b w:val="0"/>
                <w:sz w:val="17"/>
              </w:rPr>
              <w:t>Pointing regression</w:t>
            </w:r>
          </w:p>
        </w:tc>
      </w:tr>
      <w:tr>
        <w:trPr>
          <w:cantSplit/>
        </w:trPr>
        <w:tc>
          <w:tcPr>
            <w:tcW w:type="dxa" w:w="1250"/>
            <w:vAlign w:val="center"/>
            <w:tcMar>
              <w:top w:w="80" w:type="dxa"/>
              <w:bottom w:w="80" w:type="dxa"/>
              <w:start w:w="100" w:type="dxa"/>
              <w:end w:w="100" w:type="dxa"/>
            </w:tcMar>
          </w:tcPr>
          <w:p>
            <w:pPr>
              <w:spacing w:before="0" w:after="0" w:line="240" w:lineRule="auto"/>
              <w:jc w:val="left"/>
            </w:pPr>
            <w:r>
              <w:rPr>
                <w:b w:val="0"/>
                <w:sz w:val="17"/>
              </w:rPr>
              <w:t>VX-EXEC-001</w:t>
            </w:r>
          </w:p>
        </w:tc>
        <w:tc>
          <w:tcPr>
            <w:tcW w:type="dxa" w:w="2600"/>
            <w:vAlign w:val="center"/>
            <w:tcMar>
              <w:top w:w="80" w:type="dxa"/>
              <w:bottom w:w="80" w:type="dxa"/>
              <w:start w:w="100" w:type="dxa"/>
              <w:end w:w="100" w:type="dxa"/>
            </w:tcMar>
          </w:tcPr>
          <w:p>
            <w:pPr>
              <w:spacing w:before="0" w:after="0" w:line="240" w:lineRule="auto"/>
              <w:jc w:val="left"/>
            </w:pPr>
            <w:r>
              <w:rPr>
                <w:b w:val="0"/>
                <w:sz w:val="17"/>
              </w:rPr>
              <w:t>RadarExecutor shall own task-to-dwell translation and source execution.</w:t>
            </w:r>
          </w:p>
        </w:tc>
        <w:tc>
          <w:tcPr>
            <w:tcW w:type="dxa" w:w="1400"/>
            <w:vAlign w:val="center"/>
            <w:tcMar>
              <w:top w:w="80" w:type="dxa"/>
              <w:bottom w:w="80" w:type="dxa"/>
              <w:start w:w="100" w:type="dxa"/>
              <w:end w:w="100" w:type="dxa"/>
            </w:tcMar>
          </w:tcPr>
          <w:p>
            <w:pPr>
              <w:spacing w:before="0" w:after="0" w:line="240" w:lineRule="auto"/>
              <w:jc w:val="left"/>
            </w:pPr>
            <w:r>
              <w:rPr>
                <w:b w:val="0"/>
                <w:sz w:val="17"/>
              </w:rPr>
              <w:t>Section 9</w:t>
            </w:r>
          </w:p>
        </w:tc>
        <w:tc>
          <w:tcPr>
            <w:tcW w:type="dxa" w:w="2300"/>
            <w:vAlign w:val="center"/>
            <w:tcMar>
              <w:top w:w="80" w:type="dxa"/>
              <w:bottom w:w="80" w:type="dxa"/>
              <w:start w:w="100" w:type="dxa"/>
              <w:end w:w="100" w:type="dxa"/>
            </w:tcMar>
          </w:tcPr>
          <w:p>
            <w:pPr>
              <w:spacing w:before="0" w:after="0" w:line="240" w:lineRule="auto"/>
              <w:jc w:val="left"/>
            </w:pPr>
            <w:r>
              <w:rPr>
                <w:b w:val="0"/>
                <w:sz w:val="17"/>
              </w:rPr>
              <w:t>RadarExecutor.py</w:t>
            </w:r>
          </w:p>
        </w:tc>
        <w:tc>
          <w:tcPr>
            <w:tcW w:type="dxa" w:w="2290"/>
            <w:vAlign w:val="center"/>
            <w:tcMar>
              <w:top w:w="80" w:type="dxa"/>
              <w:bottom w:w="80" w:type="dxa"/>
              <w:start w:w="100" w:type="dxa"/>
              <w:end w:w="100" w:type="dxa"/>
            </w:tcMar>
          </w:tcPr>
          <w:p>
            <w:pPr>
              <w:spacing w:before="0" w:after="0" w:line="240" w:lineRule="auto"/>
              <w:jc w:val="left"/>
            </w:pPr>
            <w:r>
              <w:rPr>
                <w:b w:val="0"/>
                <w:sz w:val="17"/>
              </w:rPr>
              <w:t>Execution-path regression</w:t>
            </w:r>
          </w:p>
        </w:tc>
      </w:tr>
      <w:tr>
        <w:trPr>
          <w:cantSplit/>
        </w:trPr>
        <w:tc>
          <w:tcPr>
            <w:tcW w:type="dxa" w:w="1250"/>
            <w:vAlign w:val="center"/>
            <w:tcMar>
              <w:top w:w="80" w:type="dxa"/>
              <w:bottom w:w="80" w:type="dxa"/>
              <w:start w:w="100" w:type="dxa"/>
              <w:end w:w="100" w:type="dxa"/>
            </w:tcMar>
          </w:tcPr>
          <w:p>
            <w:pPr>
              <w:spacing w:before="0" w:after="0" w:line="240" w:lineRule="auto"/>
              <w:jc w:val="left"/>
            </w:pPr>
            <w:r>
              <w:rPr>
                <w:b w:val="0"/>
                <w:sz w:val="17"/>
              </w:rPr>
              <w:t>VX-SDR-001</w:t>
            </w:r>
          </w:p>
        </w:tc>
        <w:tc>
          <w:tcPr>
            <w:tcW w:type="dxa" w:w="2600"/>
            <w:vAlign w:val="center"/>
            <w:tcMar>
              <w:top w:w="80" w:type="dxa"/>
              <w:bottom w:w="80" w:type="dxa"/>
              <w:start w:w="100" w:type="dxa"/>
              <w:end w:w="100" w:type="dxa"/>
            </w:tcMar>
          </w:tcPr>
          <w:p>
            <w:pPr>
              <w:spacing w:before="0" w:after="0" w:line="240" w:lineRule="auto"/>
              <w:jc w:val="left"/>
            </w:pPr>
            <w:r>
              <w:rPr>
                <w:b w:val="0"/>
                <w:sz w:val="17"/>
              </w:rPr>
              <w:t>Pulse and receive timing shall use SDR hardware timestamps.</w:t>
            </w:r>
          </w:p>
        </w:tc>
        <w:tc>
          <w:tcPr>
            <w:tcW w:type="dxa" w:w="1400"/>
            <w:vAlign w:val="center"/>
            <w:tcMar>
              <w:top w:w="80" w:type="dxa"/>
              <w:bottom w:w="80" w:type="dxa"/>
              <w:start w:w="100" w:type="dxa"/>
              <w:end w:w="100" w:type="dxa"/>
            </w:tcMar>
          </w:tcPr>
          <w:p>
            <w:pPr>
              <w:spacing w:before="0" w:after="0" w:line="240" w:lineRule="auto"/>
              <w:jc w:val="left"/>
            </w:pPr>
            <w:r>
              <w:rPr>
                <w:b w:val="0"/>
                <w:sz w:val="17"/>
              </w:rPr>
              <w:t>Sections 13, 14</w:t>
            </w:r>
          </w:p>
        </w:tc>
        <w:tc>
          <w:tcPr>
            <w:tcW w:type="dxa" w:w="2300"/>
            <w:vAlign w:val="center"/>
            <w:tcMar>
              <w:top w:w="80" w:type="dxa"/>
              <w:bottom w:w="80" w:type="dxa"/>
              <w:start w:w="100" w:type="dxa"/>
              <w:end w:w="100" w:type="dxa"/>
            </w:tcMar>
          </w:tcPr>
          <w:p>
            <w:pPr>
              <w:spacing w:before="0" w:after="0" w:line="240" w:lineRule="auto"/>
              <w:jc w:val="left"/>
            </w:pPr>
            <w:r>
              <w:rPr>
                <w:b w:val="0"/>
                <w:sz w:val="17"/>
              </w:rPr>
              <w:t>EttusRadarSource.py</w:t>
            </w:r>
          </w:p>
        </w:tc>
        <w:tc>
          <w:tcPr>
            <w:tcW w:type="dxa" w:w="2290"/>
            <w:vAlign w:val="center"/>
            <w:tcMar>
              <w:top w:w="80" w:type="dxa"/>
              <w:bottom w:w="80" w:type="dxa"/>
              <w:start w:w="100" w:type="dxa"/>
              <w:end w:w="100" w:type="dxa"/>
            </w:tcMar>
          </w:tcPr>
          <w:p>
            <w:pPr>
              <w:spacing w:before="0" w:after="0" w:line="240" w:lineRule="auto"/>
              <w:jc w:val="left"/>
            </w:pPr>
            <w:r>
              <w:rPr>
                <w:b w:val="0"/>
                <w:sz w:val="17"/>
              </w:rPr>
              <w:t>Timed receive test</w:t>
            </w:r>
          </w:p>
        </w:tc>
      </w:tr>
      <w:tr>
        <w:trPr>
          <w:cantSplit/>
        </w:trPr>
        <w:tc>
          <w:tcPr>
            <w:tcW w:type="dxa" w:w="1250"/>
            <w:vAlign w:val="center"/>
            <w:tcMar>
              <w:top w:w="80" w:type="dxa"/>
              <w:bottom w:w="80" w:type="dxa"/>
              <w:start w:w="100" w:type="dxa"/>
              <w:end w:w="100" w:type="dxa"/>
            </w:tcMar>
          </w:tcPr>
          <w:p>
            <w:pPr>
              <w:spacing w:before="0" w:after="0" w:line="240" w:lineRule="auto"/>
              <w:jc w:val="left"/>
            </w:pPr>
            <w:r>
              <w:rPr>
                <w:b w:val="0"/>
                <w:sz w:val="17"/>
              </w:rPr>
              <w:t>VX-SDR-002</w:t>
            </w:r>
          </w:p>
        </w:tc>
        <w:tc>
          <w:tcPr>
            <w:tcW w:type="dxa" w:w="2600"/>
            <w:vAlign w:val="center"/>
            <w:tcMar>
              <w:top w:w="80" w:type="dxa"/>
              <w:bottom w:w="80" w:type="dxa"/>
              <w:start w:w="100" w:type="dxa"/>
              <w:end w:w="100" w:type="dxa"/>
            </w:tcMar>
          </w:tcPr>
          <w:p>
            <w:pPr>
              <w:spacing w:before="0" w:after="0" w:line="240" w:lineRule="auto"/>
              <w:jc w:val="left"/>
            </w:pPr>
            <w:r>
              <w:rPr>
                <w:b w:val="0"/>
                <w:sz w:val="17"/>
              </w:rPr>
              <w:t>Command lead time shall be applied once per dwell.</w:t>
            </w:r>
          </w:p>
        </w:tc>
        <w:tc>
          <w:tcPr>
            <w:tcW w:type="dxa" w:w="1400"/>
            <w:vAlign w:val="center"/>
            <w:tcMar>
              <w:top w:w="80" w:type="dxa"/>
              <w:bottom w:w="80" w:type="dxa"/>
              <w:start w:w="100" w:type="dxa"/>
              <w:end w:w="100" w:type="dxa"/>
            </w:tcMar>
          </w:tcPr>
          <w:p>
            <w:pPr>
              <w:spacing w:before="0" w:after="0" w:line="240" w:lineRule="auto"/>
              <w:jc w:val="left"/>
            </w:pPr>
            <w:r>
              <w:rPr>
                <w:b w:val="0"/>
                <w:sz w:val="17"/>
              </w:rPr>
              <w:t>Section 13.5</w:t>
            </w:r>
          </w:p>
        </w:tc>
        <w:tc>
          <w:tcPr>
            <w:tcW w:type="dxa" w:w="2300"/>
            <w:vAlign w:val="center"/>
            <w:tcMar>
              <w:top w:w="80" w:type="dxa"/>
              <w:bottom w:w="80" w:type="dxa"/>
              <w:start w:w="100" w:type="dxa"/>
              <w:end w:w="100" w:type="dxa"/>
            </w:tcMar>
          </w:tcPr>
          <w:p>
            <w:pPr>
              <w:spacing w:before="0" w:after="0" w:line="240" w:lineRule="auto"/>
              <w:jc w:val="left"/>
            </w:pPr>
            <w:r>
              <w:rPr>
                <w:b w:val="0"/>
                <w:sz w:val="17"/>
              </w:rPr>
              <w:t>EttusRadarSource.py</w:t>
            </w:r>
          </w:p>
        </w:tc>
        <w:tc>
          <w:tcPr>
            <w:tcW w:type="dxa" w:w="2290"/>
            <w:vAlign w:val="center"/>
            <w:tcMar>
              <w:top w:w="80" w:type="dxa"/>
              <w:bottom w:w="80" w:type="dxa"/>
              <w:start w:w="100" w:type="dxa"/>
              <w:end w:w="100" w:type="dxa"/>
            </w:tcMar>
          </w:tcPr>
          <w:p>
            <w:pPr>
              <w:spacing w:before="0" w:after="0" w:line="240" w:lineRule="auto"/>
              <w:jc w:val="left"/>
            </w:pPr>
            <w:r>
              <w:rPr>
                <w:b w:val="0"/>
                <w:sz w:val="17"/>
              </w:rPr>
              <w:t>Collection-time evidence</w:t>
            </w:r>
          </w:p>
        </w:tc>
      </w:tr>
      <w:tr>
        <w:trPr>
          <w:cantSplit/>
        </w:trPr>
        <w:tc>
          <w:tcPr>
            <w:tcW w:type="dxa" w:w="1250"/>
            <w:vAlign w:val="center"/>
            <w:tcMar>
              <w:top w:w="80" w:type="dxa"/>
              <w:bottom w:w="80" w:type="dxa"/>
              <w:start w:w="100" w:type="dxa"/>
              <w:end w:w="100" w:type="dxa"/>
            </w:tcMar>
          </w:tcPr>
          <w:p>
            <w:pPr>
              <w:spacing w:before="0" w:after="0" w:line="240" w:lineRule="auto"/>
              <w:jc w:val="left"/>
            </w:pPr>
            <w:r>
              <w:rPr>
                <w:b w:val="0"/>
                <w:sz w:val="17"/>
              </w:rPr>
              <w:t>VX-SDR-003</w:t>
            </w:r>
          </w:p>
        </w:tc>
        <w:tc>
          <w:tcPr>
            <w:tcW w:type="dxa" w:w="2600"/>
            <w:vAlign w:val="center"/>
            <w:tcMar>
              <w:top w:w="80" w:type="dxa"/>
              <w:bottom w:w="80" w:type="dxa"/>
              <w:start w:w="100" w:type="dxa"/>
              <w:end w:w="100" w:type="dxa"/>
            </w:tcMar>
          </w:tcPr>
          <w:p>
            <w:pPr>
              <w:spacing w:before="0" w:after="0"/>
            </w:pPr>
            <w:r>
              <w:rPr>
                <w:sz w:val="17"/>
              </w:rPr>
              <w:t>Finite per-PRI TX/RX operations shall use a bounded future command horizon.</w:t>
            </w:r>
          </w:p>
        </w:tc>
        <w:tc>
          <w:tcPr>
            <w:tcW w:type="dxa" w:w="1400"/>
            <w:vAlign w:val="center"/>
            <w:tcMar>
              <w:top w:w="80" w:type="dxa"/>
              <w:bottom w:w="80" w:type="dxa"/>
              <w:start w:w="100" w:type="dxa"/>
              <w:end w:w="100" w:type="dxa"/>
            </w:tcMar>
          </w:tcPr>
          <w:p>
            <w:pPr>
              <w:spacing w:before="0" w:after="0"/>
            </w:pPr>
            <w:r>
              <w:rPr>
                <w:sz w:val="17"/>
              </w:rPr>
              <w:t>Sections 13.4, 13.8</w:t>
            </w:r>
          </w:p>
        </w:tc>
        <w:tc>
          <w:tcPr>
            <w:tcW w:type="dxa" w:w="2300"/>
            <w:vAlign w:val="center"/>
            <w:tcMar>
              <w:top w:w="80" w:type="dxa"/>
              <w:bottom w:w="80" w:type="dxa"/>
              <w:start w:w="100" w:type="dxa"/>
              <w:end w:w="100" w:type="dxa"/>
            </w:tcMar>
          </w:tcPr>
          <w:p>
            <w:pPr>
              <w:spacing w:before="0" w:after="0"/>
            </w:pPr>
            <w:r>
              <w:rPr>
                <w:sz w:val="17"/>
              </w:rPr>
              <w:t>EttusRadarSource.py</w:t>
            </w:r>
          </w:p>
        </w:tc>
        <w:tc>
          <w:tcPr>
            <w:tcW w:type="dxa" w:w="2290"/>
            <w:vAlign w:val="center"/>
            <w:tcMar>
              <w:top w:w="80" w:type="dxa"/>
              <w:bottom w:w="80" w:type="dxa"/>
              <w:start w:w="100" w:type="dxa"/>
              <w:end w:w="100" w:type="dxa"/>
            </w:tcMar>
          </w:tcPr>
          <w:p>
            <w:pPr>
              <w:spacing w:before="0" w:after="0"/>
            </w:pPr>
            <w:r>
              <w:rPr>
                <w:sz w:val="17"/>
              </w:rPr>
              <w:t>4 kHz / 128-pulse hardware test</w:t>
            </w:r>
          </w:p>
        </w:tc>
      </w:tr>
      <w:tr>
        <w:trPr>
          <w:cantSplit/>
        </w:trPr>
        <w:tc>
          <w:tcPr>
            <w:tcW w:type="dxa" w:w="1250"/>
            <w:vAlign w:val="center"/>
            <w:tcMar>
              <w:top w:w="80" w:type="dxa"/>
              <w:bottom w:w="80" w:type="dxa"/>
              <w:start w:w="100" w:type="dxa"/>
              <w:end w:w="100" w:type="dxa"/>
            </w:tcMar>
          </w:tcPr>
          <w:p>
            <w:r>
              <w:t>VX-PTZ-001</w:t>
            </w:r>
          </w:p>
        </w:tc>
        <w:tc>
          <w:tcPr>
            <w:tcW w:type="dxa" w:w="2600"/>
            <w:vAlign w:val="center"/>
            <w:tcMar>
              <w:top w:w="80" w:type="dxa"/>
              <w:bottom w:w="80" w:type="dxa"/>
              <w:start w:w="100" w:type="dxa"/>
              <w:end w:w="100" w:type="dxa"/>
            </w:tcMar>
          </w:tcPr>
          <w:p>
            <w:r>
              <w:t>Measured X6-60 pointing shall be associated with every dwell (legacy requirement identifier retained).</w:t>
            </w:r>
          </w:p>
        </w:tc>
        <w:tc>
          <w:tcPr>
            <w:tcW w:type="dxa" w:w="1400"/>
            <w:vAlign w:val="center"/>
            <w:tcMar>
              <w:top w:w="80" w:type="dxa"/>
              <w:bottom w:w="80" w:type="dxa"/>
              <w:start w:w="100" w:type="dxa"/>
              <w:end w:w="100" w:type="dxa"/>
            </w:tcMar>
          </w:tcPr>
          <w:p>
            <w:r>
              <w:t>Sections 8, 15</w:t>
            </w:r>
          </w:p>
        </w:tc>
        <w:tc>
          <w:tcPr>
            <w:tcW w:type="dxa" w:w="2300"/>
            <w:vAlign w:val="center"/>
            <w:tcMar>
              <w:top w:w="80" w:type="dxa"/>
              <w:bottom w:w="80" w:type="dxa"/>
              <w:start w:w="100" w:type="dxa"/>
              <w:end w:w="100" w:type="dxa"/>
            </w:tcMar>
          </w:tcPr>
          <w:p>
            <w:r>
              <w:t>PointingManager.py; RadarExecutor.py</w:t>
            </w:r>
          </w:p>
        </w:tc>
        <w:tc>
          <w:tcPr>
            <w:tcW w:type="dxa" w:w="2290"/>
            <w:vAlign w:val="center"/>
            <w:tcMar>
              <w:top w:w="80" w:type="dxa"/>
              <w:bottom w:w="80" w:type="dxa"/>
              <w:start w:w="100" w:type="dxa"/>
              <w:end w:w="100" w:type="dxa"/>
            </w:tcMar>
          </w:tcPr>
          <w:p>
            <w:r>
              <w:t>Metadata and hardware-run inspection</w:t>
            </w:r>
          </w:p>
        </w:tc>
      </w:tr>
      <w:tr>
        <w:trPr>
          <w:cantSplit/>
        </w:trPr>
        <w:tc>
          <w:tcPr>
            <w:tcW w:type="dxa" w:w="1250"/>
            <w:vAlign w:val="center"/>
            <w:tcMar>
              <w:top w:w="80" w:type="dxa"/>
              <w:bottom w:w="80" w:type="dxa"/>
              <w:start w:w="100" w:type="dxa"/>
              <w:end w:w="100" w:type="dxa"/>
            </w:tcMar>
          </w:tcPr>
          <w:p>
            <w:pPr>
              <w:spacing w:before="0" w:after="0" w:line="240" w:lineRule="auto"/>
              <w:jc w:val="left"/>
            </w:pPr>
            <w:r>
              <w:rPr>
                <w:b w:val="0"/>
                <w:sz w:val="17"/>
              </w:rPr>
              <w:t>VX-PROC-001</w:t>
            </w:r>
          </w:p>
        </w:tc>
        <w:tc>
          <w:tcPr>
            <w:tcW w:type="dxa" w:w="2600"/>
            <w:vAlign w:val="center"/>
            <w:tcMar>
              <w:top w:w="80" w:type="dxa"/>
              <w:bottom w:w="80" w:type="dxa"/>
              <w:start w:w="100" w:type="dxa"/>
              <w:end w:w="100" w:type="dxa"/>
            </w:tcMar>
          </w:tcPr>
          <w:p>
            <w:pPr>
              <w:spacing w:before="0" w:after="0" w:line="240" w:lineRule="auto"/>
              <w:jc w:val="left"/>
            </w:pPr>
            <w:r>
              <w:rPr>
                <w:b w:val="0"/>
                <w:sz w:val="17"/>
              </w:rPr>
              <w:t>RadarProcessor shall not command hardware.</w:t>
            </w:r>
          </w:p>
        </w:tc>
        <w:tc>
          <w:tcPr>
            <w:tcW w:type="dxa" w:w="1400"/>
            <w:vAlign w:val="center"/>
            <w:tcMar>
              <w:top w:w="80" w:type="dxa"/>
              <w:bottom w:w="80" w:type="dxa"/>
              <w:start w:w="100" w:type="dxa"/>
              <w:end w:w="100" w:type="dxa"/>
            </w:tcMar>
          </w:tcPr>
          <w:p>
            <w:pPr>
              <w:spacing w:before="0" w:after="0" w:line="240" w:lineRule="auto"/>
              <w:jc w:val="left"/>
            </w:pPr>
            <w:r>
              <w:rPr>
                <w:b w:val="0"/>
                <w:sz w:val="17"/>
              </w:rPr>
              <w:t>Sections 4, 11</w:t>
            </w:r>
          </w:p>
        </w:tc>
        <w:tc>
          <w:tcPr>
            <w:tcW w:type="dxa" w:w="2300"/>
            <w:vAlign w:val="center"/>
            <w:tcMar>
              <w:top w:w="80" w:type="dxa"/>
              <w:bottom w:w="80" w:type="dxa"/>
              <w:start w:w="100" w:type="dxa"/>
              <w:end w:w="100" w:type="dxa"/>
            </w:tcMar>
          </w:tcPr>
          <w:p>
            <w:pPr>
              <w:spacing w:before="0" w:after="0" w:line="240" w:lineRule="auto"/>
              <w:jc w:val="left"/>
            </w:pPr>
            <w:r>
              <w:rPr>
                <w:b w:val="0"/>
                <w:sz w:val="17"/>
              </w:rPr>
              <w:t>RadarProcessor.py</w:t>
            </w:r>
          </w:p>
        </w:tc>
        <w:tc>
          <w:tcPr>
            <w:tcW w:type="dxa" w:w="2290"/>
            <w:vAlign w:val="center"/>
            <w:tcMar>
              <w:top w:w="80" w:type="dxa"/>
              <w:bottom w:w="80" w:type="dxa"/>
              <w:start w:w="100" w:type="dxa"/>
              <w:end w:w="100" w:type="dxa"/>
            </w:tcMar>
          </w:tcPr>
          <w:p>
            <w:pPr>
              <w:spacing w:before="0" w:after="0" w:line="240" w:lineRule="auto"/>
              <w:jc w:val="left"/>
            </w:pPr>
            <w:r>
              <w:rPr>
                <w:b w:val="0"/>
                <w:sz w:val="17"/>
              </w:rPr>
              <w:t>Architecture review</w:t>
            </w:r>
          </w:p>
        </w:tc>
      </w:tr>
      <w:tr>
        <w:trPr>
          <w:cantSplit/>
        </w:trPr>
        <w:tc>
          <w:tcPr>
            <w:tcW w:type="dxa" w:w="1250"/>
            <w:vAlign w:val="center"/>
            <w:tcMar>
              <w:top w:w="80" w:type="dxa"/>
              <w:bottom w:w="80" w:type="dxa"/>
              <w:start w:w="100" w:type="dxa"/>
              <w:end w:w="100" w:type="dxa"/>
            </w:tcMar>
          </w:tcPr>
          <w:p>
            <w:pPr>
              <w:spacing w:before="0" w:after="0" w:line="240" w:lineRule="auto"/>
              <w:jc w:val="left"/>
            </w:pPr>
            <w:r>
              <w:rPr>
                <w:b w:val="0"/>
                <w:sz w:val="17"/>
              </w:rPr>
              <w:t>VX-TRM-001</w:t>
            </w:r>
          </w:p>
        </w:tc>
        <w:tc>
          <w:tcPr>
            <w:tcW w:type="dxa" w:w="2600"/>
            <w:vAlign w:val="center"/>
            <w:tcMar>
              <w:top w:w="80" w:type="dxa"/>
              <w:bottom w:w="80" w:type="dxa"/>
              <w:start w:w="100" w:type="dxa"/>
              <w:end w:w="100" w:type="dxa"/>
            </w:tcMar>
          </w:tcPr>
          <w:p>
            <w:pPr>
              <w:spacing w:before="0" w:after="0" w:line="240" w:lineRule="auto"/>
              <w:jc w:val="left"/>
            </w:pPr>
            <w:r>
              <w:rPr>
                <w:b w:val="0"/>
                <w:sz w:val="17"/>
              </w:rPr>
              <w:t>STM32 shall provide slow 28-bit TRM control only.</w:t>
            </w:r>
          </w:p>
        </w:tc>
        <w:tc>
          <w:tcPr>
            <w:tcW w:type="dxa" w:w="1400"/>
            <w:vAlign w:val="center"/>
            <w:tcMar>
              <w:top w:w="80" w:type="dxa"/>
              <w:bottom w:w="80" w:type="dxa"/>
              <w:start w:w="100" w:type="dxa"/>
              <w:end w:w="100" w:type="dxa"/>
            </w:tcMar>
          </w:tcPr>
          <w:p>
            <w:pPr>
              <w:spacing w:before="0" w:after="0" w:line="240" w:lineRule="auto"/>
              <w:jc w:val="left"/>
            </w:pPr>
            <w:r>
              <w:rPr>
                <w:b w:val="0"/>
                <w:sz w:val="17"/>
              </w:rPr>
              <w:t>Section 12.1</w:t>
            </w:r>
          </w:p>
        </w:tc>
        <w:tc>
          <w:tcPr>
            <w:tcW w:type="dxa" w:w="2300"/>
            <w:vAlign w:val="center"/>
            <w:tcMar>
              <w:top w:w="80" w:type="dxa"/>
              <w:bottom w:w="80" w:type="dxa"/>
              <w:start w:w="100" w:type="dxa"/>
              <w:end w:w="100" w:type="dxa"/>
            </w:tcMar>
          </w:tcPr>
          <w:p>
            <w:pPr>
              <w:spacing w:before="0" w:after="0" w:line="240" w:lineRule="auto"/>
              <w:jc w:val="left"/>
            </w:pPr>
            <w:r>
              <w:rPr>
                <w:b w:val="0"/>
                <w:sz w:val="17"/>
              </w:rPr>
              <w:t>TRMInterface.py; TRMController.py</w:t>
            </w:r>
          </w:p>
        </w:tc>
        <w:tc>
          <w:tcPr>
            <w:tcW w:type="dxa" w:w="2290"/>
            <w:vAlign w:val="center"/>
            <w:tcMar>
              <w:top w:w="80" w:type="dxa"/>
              <w:bottom w:w="80" w:type="dxa"/>
              <w:start w:w="100" w:type="dxa"/>
              <w:end w:w="100" w:type="dxa"/>
            </w:tcMar>
          </w:tcPr>
          <w:p>
            <w:pPr>
              <w:spacing w:before="0" w:after="0" w:line="240" w:lineRule="auto"/>
              <w:jc w:val="left"/>
            </w:pPr>
            <w:r>
              <w:rPr>
                <w:b w:val="0"/>
                <w:sz w:val="17"/>
              </w:rPr>
              <w:t>Scope and protocol test</w:t>
            </w:r>
          </w:p>
        </w:tc>
      </w:tr>
      <w:tr>
        <w:trPr>
          <w:cantSplit/>
        </w:trPr>
        <w:tc>
          <w:tcPr>
            <w:tcW w:type="dxa" w:w="1250"/>
            <w:vAlign w:val="center"/>
            <w:tcMar>
              <w:top w:w="80" w:type="dxa"/>
              <w:bottom w:w="80" w:type="dxa"/>
              <w:start w:w="100" w:type="dxa"/>
              <w:end w:w="100" w:type="dxa"/>
            </w:tcMar>
          </w:tcPr>
          <w:p>
            <w:r>
              <w:t>VX-VER-001</w:t>
            </w:r>
          </w:p>
        </w:tc>
        <w:tc>
          <w:tcPr>
            <w:tcW w:type="dxa" w:w="2600"/>
            <w:vAlign w:val="center"/>
            <w:tcMar>
              <w:top w:w="80" w:type="dxa"/>
              <w:bottom w:w="80" w:type="dxa"/>
              <w:start w:w="100" w:type="dxa"/>
              <w:end w:w="100" w:type="dxa"/>
            </w:tcMar>
          </w:tcPr>
          <w:p>
            <w:r>
              <w:t>Timed TX and ATR non-overlap shall be scope-verified before connection to the high-power path.</w:t>
            </w:r>
          </w:p>
        </w:tc>
        <w:tc>
          <w:tcPr>
            <w:tcW w:type="dxa" w:w="1400"/>
            <w:vAlign w:val="center"/>
            <w:tcMar>
              <w:top w:w="80" w:type="dxa"/>
              <w:bottom w:w="80" w:type="dxa"/>
              <w:start w:w="100" w:type="dxa"/>
              <w:end w:w="100" w:type="dxa"/>
            </w:tcMar>
          </w:tcPr>
          <w:p>
            <w:r>
              <w:t>Sections 14.6 and 17.2</w:t>
            </w:r>
          </w:p>
        </w:tc>
        <w:tc>
          <w:tcPr>
            <w:tcW w:type="dxa" w:w="2300"/>
            <w:vAlign w:val="center"/>
            <w:tcMar>
              <w:top w:w="80" w:type="dxa"/>
              <w:bottom w:w="80" w:type="dxa"/>
              <w:start w:w="100" w:type="dxa"/>
              <w:end w:w="100" w:type="dxa"/>
            </w:tcMar>
          </w:tcPr>
          <w:p>
            <w:r>
              <w:t>Guarded ATR and operating-profile harnesses</w:t>
            </w:r>
          </w:p>
        </w:tc>
        <w:tc>
          <w:tcPr>
            <w:tcW w:type="dxa" w:w="2290"/>
            <w:vAlign w:val="center"/>
            <w:tcMar>
              <w:top w:w="80" w:type="dxa"/>
              <w:bottom w:w="80" w:type="dxa"/>
              <w:start w:w="100" w:type="dxa"/>
              <w:end w:w="100" w:type="dxa"/>
            </w:tcMar>
          </w:tcPr>
          <w:p>
            <w:r>
              <w:t>CRO evidence complete with TRM/PA disconnected; external receiver recovery remains staged</w:t>
            </w:r>
          </w:p>
        </w:tc>
      </w:tr>
      <w:tr>
        <w:trPr>
          <w:cantSplit/>
        </w:trPr>
        <w:tc>
          <w:tcPr>
            <w:tcW w:type="dxa" w:w="1250"/>
            <w:tcW w:type="dxa" w:w="2016"/>
            <w:vAlign w:val="center"/>
            <w:tcMar>
              <w:top w:w="80" w:type="dxa"/>
              <w:bottom w:w="80" w:type="dxa"/>
              <w:start w:w="100" w:type="dxa"/>
              <w:end w:w="100" w:type="dxa"/>
            </w:tcMar>
          </w:tcPr>
          <w:p>
            <w:pPr>
              <w:spacing w:before="0" w:after="0" w:line="240" w:lineRule="auto"/>
              <w:jc w:val="left"/>
            </w:pPr>
            <w:r>
              <w:rPr>
                <w:b w:val="0"/>
                <w:sz w:val="17"/>
              </w:rPr>
              <w:t>VX-WFM-001</w:t>
            </w:r>
          </w:p>
        </w:tc>
        <w:tc>
          <w:tcPr>
            <w:tcW w:type="dxa" w:w="2600"/>
            <w:tcW w:type="dxa" w:w="2016"/>
            <w:vAlign w:val="center"/>
            <w:tcMar>
              <w:top w:w="80" w:type="dxa"/>
              <w:bottom w:w="80" w:type="dxa"/>
              <w:start w:w="100" w:type="dxa"/>
              <w:end w:w="100" w:type="dxa"/>
            </w:tcMar>
          </w:tcPr>
          <w:p>
            <w:pPr>
              <w:spacing w:before="0" w:after="0" w:line="240" w:lineRule="auto"/>
              <w:jc w:val="left"/>
            </w:pPr>
            <w:r>
              <w:rPr>
                <w:b w:val="0"/>
                <w:sz w:val="17"/>
              </w:rPr>
              <w:t>The initial SDR sample rate shall remain fixed at 40 MS/s.</w:t>
            </w:r>
          </w:p>
        </w:tc>
        <w:tc>
          <w:tcPr>
            <w:tcW w:type="dxa" w:w="1400"/>
            <w:tcW w:type="dxa" w:w="2016"/>
            <w:vAlign w:val="center"/>
            <w:tcMar>
              <w:top w:w="80" w:type="dxa"/>
              <w:bottom w:w="80" w:type="dxa"/>
              <w:start w:w="100" w:type="dxa"/>
              <w:end w:w="100" w:type="dxa"/>
            </w:tcMar>
          </w:tcPr>
          <w:p>
            <w:pPr>
              <w:spacing w:before="0" w:after="0" w:line="240" w:lineRule="auto"/>
              <w:jc w:val="left"/>
            </w:pPr>
            <w:r>
              <w:rPr>
                <w:b w:val="0"/>
                <w:sz w:val="17"/>
              </w:rPr>
              <w:t>Sections 10, 13</w:t>
            </w:r>
          </w:p>
        </w:tc>
        <w:tc>
          <w:tcPr>
            <w:tcW w:type="dxa" w:w="2300"/>
            <w:tcW w:type="dxa" w:w="2016"/>
            <w:vAlign w:val="center"/>
            <w:tcMar>
              <w:top w:w="80" w:type="dxa"/>
              <w:bottom w:w="80" w:type="dxa"/>
              <w:start w:w="100" w:type="dxa"/>
              <w:end w:w="100" w:type="dxa"/>
            </w:tcMar>
          </w:tcPr>
          <w:p>
            <w:pPr>
              <w:spacing w:before="0" w:after="0" w:line="240" w:lineRule="auto"/>
              <w:jc w:val="left"/>
            </w:pPr>
            <w:r>
              <w:rPr>
                <w:b w:val="0"/>
                <w:sz w:val="17"/>
              </w:rPr>
              <w:t>WaveformLibrary.py; EttusRadarSource.py</w:t>
            </w:r>
          </w:p>
        </w:tc>
        <w:tc>
          <w:tcPr>
            <w:tcW w:type="dxa" w:w="2290"/>
            <w:tcW w:type="dxa" w:w="2016"/>
            <w:vAlign w:val="center"/>
            <w:tcMar>
              <w:top w:w="80" w:type="dxa"/>
              <w:bottom w:w="80" w:type="dxa"/>
              <w:start w:w="100" w:type="dxa"/>
              <w:end w:w="100" w:type="dxa"/>
            </w:tcMar>
          </w:tcPr>
          <w:p>
            <w:pPr>
              <w:spacing w:before="0" w:after="0" w:line="240" w:lineRule="auto"/>
              <w:jc w:val="left"/>
            </w:pPr>
            <w:r>
              <w:rPr>
                <w:b w:val="0"/>
                <w:sz w:val="17"/>
              </w:rPr>
              <w:t>Waveform metadata and rate test</w:t>
            </w:r>
          </w:p>
        </w:tc>
      </w:tr>
      <w:tr>
        <w:trPr>
          <w:cantSplit/>
        </w:trPr>
        <w:tc>
          <w:tcPr>
            <w:tcW w:type="dxa" w:w="1250"/>
            <w:tcW w:type="dxa" w:w="2016"/>
            <w:vAlign w:val="center"/>
            <w:tcMar>
              <w:top w:w="80" w:type="dxa"/>
              <w:bottom w:w="80" w:type="dxa"/>
              <w:start w:w="100" w:type="dxa"/>
              <w:end w:w="100" w:type="dxa"/>
            </w:tcMar>
          </w:tcPr>
          <w:p>
            <w:pPr>
              <w:spacing w:before="0" w:after="0" w:line="240" w:lineRule="auto"/>
              <w:jc w:val="left"/>
            </w:pPr>
            <w:r>
              <w:rPr>
                <w:b w:val="0"/>
                <w:sz w:val="17"/>
              </w:rPr>
              <w:t>VX-WFM-002</w:t>
            </w:r>
          </w:p>
        </w:tc>
        <w:tc>
          <w:tcPr>
            <w:tcW w:type="dxa" w:w="2600"/>
            <w:tcW w:type="dxa" w:w="2016"/>
            <w:vAlign w:val="center"/>
            <w:tcMar>
              <w:top w:w="80" w:type="dxa"/>
              <w:bottom w:w="80" w:type="dxa"/>
              <w:start w:w="100" w:type="dxa"/>
              <w:end w:w="100" w:type="dxa"/>
            </w:tcMar>
          </w:tcPr>
          <w:p>
            <w:pPr>
              <w:spacing w:before="0" w:after="0" w:line="240" w:lineRule="auto"/>
              <w:jc w:val="left"/>
            </w:pPr>
            <w:r>
              <w:rPr>
                <w:b w:val="0"/>
                <w:sz w:val="17"/>
              </w:rPr>
              <w:t>Transmit, simulation and matched filtering shall use the same sampled waveform.</w:t>
            </w:r>
          </w:p>
        </w:tc>
        <w:tc>
          <w:tcPr>
            <w:tcW w:type="dxa" w:w="1400"/>
            <w:tcW w:type="dxa" w:w="2016"/>
            <w:vAlign w:val="center"/>
            <w:tcMar>
              <w:top w:w="80" w:type="dxa"/>
              <w:bottom w:w="80" w:type="dxa"/>
              <w:start w:w="100" w:type="dxa"/>
              <w:end w:w="100" w:type="dxa"/>
            </w:tcMar>
          </w:tcPr>
          <w:p>
            <w:pPr>
              <w:spacing w:before="0" w:after="0" w:line="240" w:lineRule="auto"/>
              <w:jc w:val="left"/>
            </w:pPr>
            <w:r>
              <w:rPr>
                <w:b w:val="0"/>
                <w:sz w:val="17"/>
              </w:rPr>
              <w:t>Section 10</w:t>
            </w:r>
          </w:p>
        </w:tc>
        <w:tc>
          <w:tcPr>
            <w:tcW w:type="dxa" w:w="2300"/>
            <w:tcW w:type="dxa" w:w="2016"/>
            <w:vAlign w:val="center"/>
            <w:tcMar>
              <w:top w:w="80" w:type="dxa"/>
              <w:bottom w:w="80" w:type="dxa"/>
              <w:start w:w="100" w:type="dxa"/>
              <w:end w:w="100" w:type="dxa"/>
            </w:tcMar>
          </w:tcPr>
          <w:p>
            <w:pPr>
              <w:spacing w:before="0" w:after="0" w:line="240" w:lineRule="auto"/>
              <w:jc w:val="left"/>
            </w:pPr>
            <w:r>
              <w:rPr>
                <w:b w:val="0"/>
                <w:sz w:val="17"/>
              </w:rPr>
              <w:t>WaveformLibrary.py; SimulatedSource.py; RadarProcessor.py</w:t>
            </w:r>
          </w:p>
        </w:tc>
        <w:tc>
          <w:tcPr>
            <w:tcW w:type="dxa" w:w="2290"/>
            <w:tcW w:type="dxa" w:w="2016"/>
            <w:vAlign w:val="center"/>
            <w:tcMar>
              <w:top w:w="80" w:type="dxa"/>
              <w:bottom w:w="80" w:type="dxa"/>
              <w:start w:w="100" w:type="dxa"/>
              <w:end w:w="100" w:type="dxa"/>
            </w:tcMar>
          </w:tcPr>
          <w:p>
            <w:pPr>
              <w:spacing w:before="0" w:after="0" w:line="240" w:lineRule="auto"/>
              <w:jc w:val="left"/>
            </w:pPr>
            <w:r>
              <w:rPr>
                <w:b w:val="0"/>
                <w:sz w:val="17"/>
              </w:rPr>
              <w:t>Waveform identity regression</w:t>
            </w:r>
          </w:p>
        </w:tc>
      </w:tr>
      <w:tr>
        <w:trPr>
          <w:cantSplit/>
        </w:trPr>
        <w:tc>
          <w:tcPr>
            <w:tcW w:type="dxa" w:w="1250"/>
            <w:vAlign w:val="center"/>
            <w:tcMar>
              <w:top w:w="80" w:type="dxa"/>
              <w:bottom w:w="80" w:type="dxa"/>
              <w:start w:w="100" w:type="dxa"/>
              <w:end w:w="100" w:type="dxa"/>
            </w:tcMar>
          </w:tcPr>
          <w:p>
            <w:pPr>
              <w:spacing w:before="0" w:after="0" w:line="240" w:lineRule="auto"/>
              <w:jc w:val="left"/>
            </w:pPr>
            <w:r>
              <w:rPr>
                <w:b w:val="0"/>
                <w:sz w:val="17"/>
              </w:rPr>
              <w:t>VX-WFM-003</w:t>
            </w:r>
          </w:p>
        </w:tc>
        <w:tc>
          <w:tcPr>
            <w:tcW w:type="dxa" w:w="2600"/>
            <w:vAlign w:val="center"/>
            <w:tcMar>
              <w:top w:w="80" w:type="dxa"/>
              <w:bottom w:w="80" w:type="dxa"/>
              <w:start w:w="100" w:type="dxa"/>
              <w:end w:w="100" w:type="dxa"/>
            </w:tcMar>
          </w:tcPr>
          <w:p>
            <w:pPr>
              <w:spacing w:before="0" w:after="0" w:line="240" w:lineRule="auto"/>
              <w:jc w:val="left"/>
            </w:pPr>
            <w:r>
              <w:rPr>
                <w:b w:val="0"/>
                <w:sz w:val="17"/>
              </w:rPr>
              <w:t>WaveformId shall include nominal chip rate and resolve to complete sampled-waveform metadata.</w:t>
            </w:r>
          </w:p>
        </w:tc>
        <w:tc>
          <w:tcPr>
            <w:tcW w:type="dxa" w:w="1400"/>
            <w:vAlign w:val="center"/>
            <w:tcMar>
              <w:top w:w="80" w:type="dxa"/>
              <w:bottom w:w="80" w:type="dxa"/>
              <w:start w:w="100" w:type="dxa"/>
              <w:end w:w="100" w:type="dxa"/>
            </w:tcMar>
          </w:tcPr>
          <w:p>
            <w:pPr>
              <w:spacing w:before="0" w:after="0" w:line="240" w:lineRule="auto"/>
              <w:jc w:val="left"/>
            </w:pPr>
            <w:r>
              <w:rPr>
                <w:b w:val="0"/>
                <w:sz w:val="17"/>
              </w:rPr>
              <w:t>Section 10.1</w:t>
            </w:r>
          </w:p>
        </w:tc>
        <w:tc>
          <w:tcPr>
            <w:tcW w:type="dxa" w:w="2300"/>
            <w:vAlign w:val="center"/>
            <w:tcMar>
              <w:top w:w="80" w:type="dxa"/>
              <w:bottom w:w="80" w:type="dxa"/>
              <w:start w:w="100" w:type="dxa"/>
              <w:end w:w="100" w:type="dxa"/>
            </w:tcMar>
          </w:tcPr>
          <w:p>
            <w:pPr>
              <w:spacing w:before="0" w:after="0" w:line="240" w:lineRule="auto"/>
              <w:jc w:val="left"/>
            </w:pPr>
            <w:r>
              <w:rPr>
                <w:b w:val="0"/>
                <w:sz w:val="17"/>
              </w:rPr>
              <w:t>WaveformLibrary.py; RadarExecutor.py</w:t>
            </w:r>
          </w:p>
        </w:tc>
        <w:tc>
          <w:tcPr>
            <w:tcW w:type="dxa" w:w="2290"/>
            <w:vAlign w:val="center"/>
            <w:tcMar>
              <w:top w:w="80" w:type="dxa"/>
              <w:bottom w:w="80" w:type="dxa"/>
              <w:start w:w="100" w:type="dxa"/>
              <w:end w:w="100" w:type="dxa"/>
            </w:tcMar>
          </w:tcPr>
          <w:p>
            <w:pPr>
              <w:spacing w:before="0" w:after="0" w:line="240" w:lineRule="auto"/>
              <w:jc w:val="left"/>
            </w:pPr>
            <w:r>
              <w:rPr>
                <w:b w:val="0"/>
                <w:sz w:val="17"/>
              </w:rPr>
              <w:t>Waveform catalogue and invalid-identifier tests</w:t>
            </w:r>
          </w:p>
        </w:tc>
      </w:tr>
      <w:tr>
        <w:trPr>
          <w:cantSplit/>
        </w:trPr>
        <w:tc>
          <w:tcPr>
            <w:tcW w:type="dxa" w:w="1250"/>
            <w:tcW w:type="dxa" w:w="2016"/>
            <w:vAlign w:val="center"/>
            <w:tcMar>
              <w:top w:w="80" w:type="dxa"/>
              <w:bottom w:w="80" w:type="dxa"/>
              <w:start w:w="100" w:type="dxa"/>
              <w:end w:w="100" w:type="dxa"/>
            </w:tcMar>
          </w:tcPr>
          <w:p>
            <w:r>
              <w:t>VX-TIM-001</w:t>
            </w:r>
          </w:p>
        </w:tc>
        <w:tc>
          <w:tcPr>
            <w:tcW w:type="dxa" w:w="2600"/>
            <w:tcW w:type="dxa" w:w="2016"/>
            <w:vAlign w:val="center"/>
            <w:tcMar>
              <w:top w:w="80" w:type="dxa"/>
              <w:bottom w:w="80" w:type="dxa"/>
              <w:start w:w="100" w:type="dxa"/>
              <w:end w:w="100" w:type="dxa"/>
            </w:tcMar>
          </w:tcPr>
          <w:p>
            <w:r>
              <w:t>The operator shall select physical PRF from 1-4 kHz and pulses per CPI; PRI, pair timing and CPI duration shall be derived.</w:t>
            </w:r>
          </w:p>
        </w:tc>
        <w:tc>
          <w:tcPr>
            <w:tcW w:type="dxa" w:w="1400"/>
            <w:tcW w:type="dxa" w:w="2016"/>
            <w:vAlign w:val="center"/>
            <w:tcMar>
              <w:top w:w="80" w:type="dxa"/>
              <w:bottom w:w="80" w:type="dxa"/>
              <w:start w:w="100" w:type="dxa"/>
              <w:end w:w="100" w:type="dxa"/>
            </w:tcMar>
          </w:tcPr>
          <w:p>
            <w:r>
              <w:t>Section 14</w:t>
            </w:r>
          </w:p>
        </w:tc>
        <w:tc>
          <w:tcPr>
            <w:tcW w:type="dxa" w:w="2300"/>
            <w:tcW w:type="dxa" w:w="2016"/>
            <w:vAlign w:val="center"/>
            <w:tcMar>
              <w:top w:w="80" w:type="dxa"/>
              <w:bottom w:w="80" w:type="dxa"/>
              <w:start w:w="100" w:type="dxa"/>
              <w:end w:w="100" w:type="dxa"/>
            </w:tcMar>
          </w:tcPr>
          <w:p>
            <w:r>
              <w:t>RadarDisplayQt5.py; RadarExecutor.py</w:t>
            </w:r>
          </w:p>
        </w:tc>
        <w:tc>
          <w:tcPr>
            <w:tcW w:type="dxa" w:w="2290"/>
            <w:tcW w:type="dxa" w:w="2016"/>
            <w:vAlign w:val="center"/>
            <w:tcMar>
              <w:top w:w="80" w:type="dxa"/>
              <w:bottom w:w="80" w:type="dxa"/>
              <w:start w:w="100" w:type="dxa"/>
              <w:end w:w="100" w:type="dxa"/>
            </w:tcMar>
          </w:tcPr>
          <w:p>
            <w:r>
              <w:t>UI, plan and Golay timing tests</w:t>
            </w:r>
          </w:p>
        </w:tc>
      </w:tr>
      <w:tr>
        <w:trPr>
          <w:cantSplit/>
        </w:trPr>
        <w:tc>
          <w:tcPr>
            <w:tcW w:type="dxa" w:w="1250"/>
            <w:tcW w:type="dxa" w:w="2016"/>
            <w:vAlign w:val="center"/>
            <w:tcMar>
              <w:top w:w="80" w:type="dxa"/>
              <w:bottom w:w="80" w:type="dxa"/>
              <w:start w:w="100" w:type="dxa"/>
              <w:end w:w="100" w:type="dxa"/>
            </w:tcMar>
          </w:tcPr>
          <w:p>
            <w:pPr>
              <w:spacing w:before="0" w:after="0" w:line="240" w:lineRule="auto"/>
              <w:jc w:val="left"/>
            </w:pPr>
            <w:r>
              <w:rPr>
                <w:b w:val="0"/>
                <w:sz w:val="17"/>
              </w:rPr>
              <w:t>VX-TIM-002</w:t>
            </w:r>
          </w:p>
        </w:tc>
        <w:tc>
          <w:tcPr>
            <w:tcW w:type="dxa" w:w="2600"/>
            <w:tcW w:type="dxa" w:w="2016"/>
            <w:vAlign w:val="center"/>
            <w:tcMar>
              <w:top w:w="80" w:type="dxa"/>
              <w:bottom w:w="80" w:type="dxa"/>
              <w:start w:w="100" w:type="dxa"/>
              <w:end w:w="100" w:type="dxa"/>
            </w:tcMar>
          </w:tcPr>
          <w:p>
            <w:pPr>
              <w:spacing w:before="0" w:after="0" w:line="240" w:lineRule="auto"/>
              <w:jc w:val="left"/>
            </w:pPr>
            <w:r>
              <w:rPr>
                <w:b w:val="0"/>
                <w:sz w:val="17"/>
              </w:rPr>
              <w:t>Receive timing and sample count shall be derived from waveform duration, recovery, margins and maximum range.</w:t>
            </w:r>
          </w:p>
        </w:tc>
        <w:tc>
          <w:tcPr>
            <w:tcW w:type="dxa" w:w="1400"/>
            <w:tcW w:type="dxa" w:w="2016"/>
            <w:vAlign w:val="center"/>
            <w:tcMar>
              <w:top w:w="80" w:type="dxa"/>
              <w:bottom w:w="80" w:type="dxa"/>
              <w:start w:w="100" w:type="dxa"/>
              <w:end w:w="100" w:type="dxa"/>
            </w:tcMar>
          </w:tcPr>
          <w:p>
            <w:pPr>
              <w:spacing w:before="0" w:after="0" w:line="240" w:lineRule="auto"/>
              <w:jc w:val="left"/>
            </w:pPr>
            <w:r>
              <w:rPr>
                <w:b w:val="0"/>
                <w:sz w:val="17"/>
              </w:rPr>
              <w:t>Sections 14, 15</w:t>
            </w:r>
          </w:p>
        </w:tc>
        <w:tc>
          <w:tcPr>
            <w:tcW w:type="dxa" w:w="2300"/>
            <w:tcW w:type="dxa" w:w="2016"/>
            <w:vAlign w:val="center"/>
            <w:tcMar>
              <w:top w:w="80" w:type="dxa"/>
              <w:bottom w:w="80" w:type="dxa"/>
              <w:start w:w="100" w:type="dxa"/>
              <w:end w:w="100" w:type="dxa"/>
            </w:tcMar>
          </w:tcPr>
          <w:p>
            <w:pPr>
              <w:spacing w:before="0" w:after="0" w:line="240" w:lineRule="auto"/>
              <w:jc w:val="left"/>
            </w:pPr>
            <w:r>
              <w:rPr>
                <w:b w:val="0"/>
                <w:sz w:val="17"/>
              </w:rPr>
              <w:t>RadarPlans.py; RadarExecutor.py; EttusRadarSource.py</w:t>
            </w:r>
          </w:p>
        </w:tc>
        <w:tc>
          <w:tcPr>
            <w:tcW w:type="dxa" w:w="2290"/>
            <w:tcW w:type="dxa" w:w="2016"/>
            <w:vAlign w:val="center"/>
            <w:tcMar>
              <w:top w:w="80" w:type="dxa"/>
              <w:bottom w:w="80" w:type="dxa"/>
              <w:start w:w="100" w:type="dxa"/>
              <w:end w:w="100" w:type="dxa"/>
            </w:tcMar>
          </w:tcPr>
          <w:p>
            <w:pPr>
              <w:spacing w:before="0" w:after="0" w:line="240" w:lineRule="auto"/>
              <w:jc w:val="left"/>
            </w:pPr>
            <w:r>
              <w:rPr>
                <w:b w:val="0"/>
                <w:sz w:val="17"/>
              </w:rPr>
              <w:t>Timing-model unit test and scope verification</w:t>
            </w:r>
          </w:p>
        </w:tc>
      </w:tr>
      <w:tr>
        <w:trPr>
          <w:cantSplit/>
        </w:trPr>
        <w:tc>
          <w:tcPr>
            <w:tcW w:type="dxa" w:w="1250"/>
            <w:tcW w:type="dxa" w:w="2016"/>
            <w:vAlign w:val="center"/>
            <w:tcMar>
              <w:top w:w="80" w:type="dxa"/>
              <w:bottom w:w="80" w:type="dxa"/>
              <w:start w:w="100" w:type="dxa"/>
              <w:end w:w="100" w:type="dxa"/>
            </w:tcMar>
          </w:tcPr>
          <w:p>
            <w:pPr>
              <w:spacing w:before="0" w:after="0"/>
            </w:pPr>
            <w:r>
              <w:rPr>
                <w:sz w:val="17"/>
              </w:rPr>
              <w:t>VX-SDR-004</w:t>
            </w:r>
          </w:p>
        </w:tc>
        <w:tc>
          <w:tcPr>
            <w:tcW w:type="dxa" w:w="2600"/>
            <w:tcW w:type="dxa" w:w="2016"/>
            <w:vAlign w:val="center"/>
            <w:tcMar>
              <w:top w:w="80" w:type="dxa"/>
              <w:bottom w:w="80" w:type="dxa"/>
              <w:start w:w="100" w:type="dxa"/>
              <w:end w:w="100" w:type="dxa"/>
            </w:tcMar>
          </w:tcPr>
          <w:p>
            <w:pPr>
              <w:spacing w:before="0" w:after="0"/>
            </w:pPr>
            <w:r>
              <w:rPr>
                <w:sz w:val="17"/>
              </w:rPr>
              <w:t>Timed TX/RX execution shall check every TX send/acknowledgement and every finite RX window.</w:t>
            </w:r>
          </w:p>
        </w:tc>
        <w:tc>
          <w:tcPr>
            <w:tcW w:type="dxa" w:w="1400"/>
            <w:tcW w:type="dxa" w:w="2016"/>
            <w:vAlign w:val="center"/>
            <w:tcMar>
              <w:top w:w="80" w:type="dxa"/>
              <w:bottom w:w="80" w:type="dxa"/>
              <w:start w:w="100" w:type="dxa"/>
              <w:end w:w="100" w:type="dxa"/>
            </w:tcMar>
          </w:tcPr>
          <w:p>
            <w:pPr>
              <w:spacing w:before="0" w:after="0"/>
            </w:pPr>
            <w:r>
              <w:rPr>
                <w:sz w:val="17"/>
              </w:rPr>
              <w:t>Sections 13.8, 16.1</w:t>
            </w:r>
          </w:p>
        </w:tc>
        <w:tc>
          <w:tcPr>
            <w:tcW w:type="dxa" w:w="2300"/>
            <w:tcW w:type="dxa" w:w="2016"/>
            <w:vAlign w:val="center"/>
            <w:tcMar>
              <w:top w:w="80" w:type="dxa"/>
              <w:bottom w:w="80" w:type="dxa"/>
              <w:start w:w="100" w:type="dxa"/>
              <w:end w:w="100" w:type="dxa"/>
            </w:tcMar>
          </w:tcPr>
          <w:p>
            <w:pPr>
              <w:spacing w:before="0" w:after="0"/>
            </w:pPr>
            <w:r>
              <w:rPr>
                <w:sz w:val="17"/>
              </w:rPr>
              <w:t>EttusRadarSource.py</w:t>
            </w:r>
          </w:p>
        </w:tc>
        <w:tc>
          <w:tcPr>
            <w:tcW w:type="dxa" w:w="2290"/>
            <w:tcW w:type="dxa" w:w="2016"/>
            <w:vAlign w:val="center"/>
            <w:tcMar>
              <w:top w:w="80" w:type="dxa"/>
              <w:bottom w:w="80" w:type="dxa"/>
              <w:start w:w="100" w:type="dxa"/>
              <w:end w:w="100" w:type="dxa"/>
            </w:tcMar>
          </w:tcPr>
          <w:p>
            <w:pPr>
              <w:spacing w:before="0" w:after="0"/>
            </w:pPr>
            <w:r>
              <w:rPr>
                <w:sz w:val="17"/>
              </w:rPr>
              <w:t>Protected paired-loopback test</w:t>
            </w:r>
          </w:p>
        </w:tc>
      </w:tr>
      <w:tr>
        <w:trPr>
          <w:cantSplit/>
        </w:trPr>
        <w:tc>
          <w:tcPr>
            <w:tcW w:type="dxa" w:w="1250"/>
            <w:tcW w:type="dxa" w:w="2016"/>
            <w:vAlign w:val="center"/>
            <w:tcMar>
              <w:top w:w="80" w:type="dxa"/>
              <w:bottom w:w="80" w:type="dxa"/>
              <w:start w:w="100" w:type="dxa"/>
              <w:end w:w="100" w:type="dxa"/>
            </w:tcMar>
          </w:tcPr>
          <w:p>
            <w:pPr>
              <w:spacing w:before="0" w:after="0"/>
            </w:pPr>
            <w:r>
              <w:rPr>
                <w:sz w:val="17"/>
              </w:rPr>
              <w:t>VX-PROC-002</w:t>
            </w:r>
          </w:p>
        </w:tc>
        <w:tc>
          <w:tcPr>
            <w:tcW w:type="dxa" w:w="2600"/>
            <w:tcW w:type="dxa" w:w="2016"/>
            <w:vAlign w:val="center"/>
            <w:tcMar>
              <w:top w:w="80" w:type="dxa"/>
              <w:bottom w:w="80" w:type="dxa"/>
              <w:start w:w="100" w:type="dxa"/>
              <w:end w:w="100" w:type="dxa"/>
            </w:tcMar>
          </w:tcPr>
          <w:p>
            <w:pPr>
              <w:spacing w:before="0" w:after="0"/>
            </w:pPr>
            <w:r>
              <w:rPr>
                <w:sz w:val="17"/>
              </w:rPr>
              <w:t>CPI processing shall begin only after acquisition of the complete dwell.</w:t>
            </w:r>
          </w:p>
        </w:tc>
        <w:tc>
          <w:tcPr>
            <w:tcW w:type="dxa" w:w="1400"/>
            <w:tcW w:type="dxa" w:w="2016"/>
            <w:vAlign w:val="center"/>
            <w:tcMar>
              <w:top w:w="80" w:type="dxa"/>
              <w:bottom w:w="80" w:type="dxa"/>
              <w:start w:w="100" w:type="dxa"/>
              <w:end w:w="100" w:type="dxa"/>
            </w:tcMar>
          </w:tcPr>
          <w:p>
            <w:pPr>
              <w:spacing w:before="0" w:after="0"/>
            </w:pPr>
            <w:r>
              <w:rPr>
                <w:sz w:val="17"/>
              </w:rPr>
              <w:t>Sections 11, 13.10</w:t>
            </w:r>
          </w:p>
        </w:tc>
        <w:tc>
          <w:tcPr>
            <w:tcW w:type="dxa" w:w="2300"/>
            <w:tcW w:type="dxa" w:w="2016"/>
            <w:vAlign w:val="center"/>
            <w:tcMar>
              <w:top w:w="80" w:type="dxa"/>
              <w:bottom w:w="80" w:type="dxa"/>
              <w:start w:w="100" w:type="dxa"/>
              <w:end w:w="100" w:type="dxa"/>
            </w:tcMar>
          </w:tcPr>
          <w:p>
            <w:pPr>
              <w:spacing w:before="0" w:after="0"/>
            </w:pPr>
            <w:r>
              <w:rPr>
                <w:sz w:val="17"/>
              </w:rPr>
              <w:t>RadarProcessor.py; acquisition harness</w:t>
            </w:r>
          </w:p>
        </w:tc>
        <w:tc>
          <w:tcPr>
            <w:tcW w:type="dxa" w:w="2290"/>
            <w:tcW w:type="dxa" w:w="2016"/>
            <w:vAlign w:val="center"/>
            <w:tcMar>
              <w:top w:w="80" w:type="dxa"/>
              <w:bottom w:w="80" w:type="dxa"/>
              <w:start w:w="100" w:type="dxa"/>
              <w:end w:w="100" w:type="dxa"/>
            </w:tcMar>
          </w:tcPr>
          <w:p>
            <w:pPr>
              <w:spacing w:before="0" w:after="0"/>
            </w:pPr>
            <w:r>
              <w:rPr>
                <w:sz w:val="17"/>
              </w:rPr>
              <w:t>Post-CPI processing regression</w:t>
            </w:r>
          </w:p>
        </w:tc>
      </w:tr>
      <w:tr>
        <w:trPr>
          <w:cantSplit/>
        </w:trPr>
        <w:tc>
          <w:tcPr>
            <w:tcW w:type="dxa" w:w="1250"/>
            <w:vAlign w:val="center"/>
            <w:tcMar>
              <w:top w:w="80" w:type="dxa"/>
              <w:start w:w="100" w:type="dxa"/>
              <w:bottom w:w="80" w:type="dxa"/>
              <w:end w:w="100" w:type="dxa"/>
            </w:tcMar>
          </w:tcPr>
          <w:p>
            <w:pPr>
              <w:spacing w:before="0" w:after="0"/>
            </w:pPr>
            <w:r>
              <w:rPr>
                <w:sz w:val="17"/>
              </w:rPr>
              <w:t>VX-MSN-001</w:t>
            </w:r>
          </w:p>
        </w:tc>
        <w:tc>
          <w:tcPr>
            <w:tcW w:type="dxa" w:w="2600"/>
            <w:vAlign w:val="center"/>
            <w:tcMar>
              <w:top w:w="80" w:type="dxa"/>
              <w:start w:w="100" w:type="dxa"/>
              <w:bottom w:w="80" w:type="dxa"/>
              <w:end w:w="100" w:type="dxa"/>
            </w:tcMar>
          </w:tcPr>
          <w:p>
            <w:pPr>
              <w:spacing w:before="0" w:after="0"/>
            </w:pPr>
            <w:r>
              <w:rPr>
                <w:sz w:val="17"/>
              </w:rPr>
              <w:t>MissionController shall submit, update and cancel RadarTask objects without directly commanding pointing, SDR or processing hardware.</w:t>
            </w:r>
          </w:p>
        </w:tc>
        <w:tc>
          <w:tcPr>
            <w:tcW w:type="dxa" w:w="1400"/>
            <w:vAlign w:val="center"/>
            <w:tcMar>
              <w:top w:w="80" w:type="dxa"/>
              <w:start w:w="100" w:type="dxa"/>
              <w:bottom w:w="80" w:type="dxa"/>
              <w:end w:w="100" w:type="dxa"/>
            </w:tcMar>
          </w:tcPr>
          <w:p>
            <w:pPr>
              <w:spacing w:before="0" w:after="0"/>
            </w:pPr>
            <w:r>
              <w:rPr>
                <w:sz w:val="17"/>
              </w:rPr>
              <w:t>Sections 2.5, 7.5</w:t>
            </w:r>
          </w:p>
        </w:tc>
        <w:tc>
          <w:tcPr>
            <w:tcW w:type="dxa" w:w="2300"/>
            <w:vAlign w:val="center"/>
            <w:tcMar>
              <w:top w:w="80" w:type="dxa"/>
              <w:start w:w="100" w:type="dxa"/>
              <w:bottom w:w="80" w:type="dxa"/>
              <w:end w:w="100" w:type="dxa"/>
            </w:tcMar>
          </w:tcPr>
          <w:p>
            <w:pPr>
              <w:spacing w:before="0" w:after="0"/>
            </w:pPr>
            <w:r>
              <w:rPr>
                <w:sz w:val="17"/>
              </w:rPr>
              <w:t>MissionController.py (planned); RadarScheduler.py</w:t>
            </w:r>
          </w:p>
        </w:tc>
        <w:tc>
          <w:tcPr>
            <w:tcW w:type="dxa" w:w="2290"/>
            <w:vAlign w:val="center"/>
            <w:tcMar>
              <w:top w:w="80" w:type="dxa"/>
              <w:start w:w="100" w:type="dxa"/>
              <w:bottom w:w="80" w:type="dxa"/>
              <w:end w:w="100" w:type="dxa"/>
            </w:tcMar>
          </w:tcPr>
          <w:p>
            <w:pPr>
              <w:spacing w:before="0" w:after="0"/>
            </w:pPr>
            <w:r>
              <w:rPr>
                <w:sz w:val="17"/>
              </w:rPr>
              <w:t>Mission task-interface regression</w:t>
            </w:r>
          </w:p>
        </w:tc>
      </w:tr>
      <w:tr>
        <w:trPr>
          <w:cantSplit/>
        </w:trPr>
        <w:tc>
          <w:tcPr>
            <w:tcW w:type="dxa" w:w="1250"/>
            <w:vAlign w:val="center"/>
            <w:tcMar>
              <w:top w:w="80" w:type="dxa"/>
              <w:start w:w="100" w:type="dxa"/>
              <w:bottom w:w="80" w:type="dxa"/>
              <w:end w:w="100" w:type="dxa"/>
            </w:tcMar>
          </w:tcPr>
          <w:p>
            <w:pPr>
              <w:spacing w:before="0" w:after="0"/>
            </w:pPr>
            <w:r>
              <w:rPr>
                <w:sz w:val="17"/>
              </w:rPr>
              <w:t>VX-SCH-001</w:t>
            </w:r>
          </w:p>
        </w:tc>
        <w:tc>
          <w:tcPr>
            <w:tcW w:type="dxa" w:w="2600"/>
            <w:vAlign w:val="center"/>
            <w:tcMar>
              <w:top w:w="80" w:type="dxa"/>
              <w:start w:w="100" w:type="dxa"/>
              <w:bottom w:w="80" w:type="dxa"/>
              <w:end w:w="100" w:type="dxa"/>
            </w:tcMar>
          </w:tcPr>
          <w:p>
            <w:pPr>
              <w:spacing w:before="0" w:after="0"/>
            </w:pPr>
            <w:r>
              <w:rPr>
                <w:sz w:val="17"/>
              </w:rPr>
              <w:t>The scheduler shall prioritise ready track revisits by priority and deadline, otherwise resuming persistent search.</w:t>
            </w:r>
          </w:p>
        </w:tc>
        <w:tc>
          <w:tcPr>
            <w:tcW w:type="dxa" w:w="1400"/>
            <w:vAlign w:val="center"/>
            <w:tcMar>
              <w:top w:w="80" w:type="dxa"/>
              <w:start w:w="100" w:type="dxa"/>
              <w:bottom w:w="80" w:type="dxa"/>
              <w:end w:w="100" w:type="dxa"/>
            </w:tcMar>
          </w:tcPr>
          <w:p>
            <w:pPr>
              <w:spacing w:before="0" w:after="0"/>
            </w:pPr>
            <w:r>
              <w:rPr>
                <w:sz w:val="17"/>
              </w:rPr>
              <w:t>Sections 7.1, 7.4</w:t>
            </w:r>
          </w:p>
        </w:tc>
        <w:tc>
          <w:tcPr>
            <w:tcW w:type="dxa" w:w="2300"/>
            <w:vAlign w:val="center"/>
            <w:tcMar>
              <w:top w:w="80" w:type="dxa"/>
              <w:start w:w="100" w:type="dxa"/>
              <w:bottom w:w="80" w:type="dxa"/>
              <w:end w:w="100" w:type="dxa"/>
            </w:tcMar>
          </w:tcPr>
          <w:p>
            <w:pPr>
              <w:spacing w:before="0" w:after="0"/>
            </w:pPr>
            <w:r>
              <w:rPr>
                <w:sz w:val="17"/>
              </w:rPr>
              <w:t>RadarScheduler.py</w:t>
            </w:r>
          </w:p>
        </w:tc>
        <w:tc>
          <w:tcPr>
            <w:tcW w:type="dxa" w:w="2290"/>
            <w:vAlign w:val="center"/>
            <w:tcMar>
              <w:top w:w="80" w:type="dxa"/>
              <w:start w:w="100" w:type="dxa"/>
              <w:bottom w:w="80" w:type="dxa"/>
              <w:end w:w="100" w:type="dxa"/>
            </w:tcMar>
          </w:tcPr>
          <w:p>
            <w:pPr>
              <w:spacing w:before="0" w:after="0"/>
            </w:pPr>
            <w:r>
              <w:rPr>
                <w:sz w:val="17"/>
              </w:rPr>
              <w:t>Scheduler integration regression</w:t>
            </w:r>
          </w:p>
        </w:tc>
      </w:tr>
      <w:tr>
        <w:trPr>
          <w:cantSplit/>
        </w:trPr>
        <w:tc>
          <w:tcPr>
            <w:tcW w:type="dxa" w:w="1250"/>
            <w:vAlign w:val="center"/>
            <w:tcMar>
              <w:top w:w="80" w:type="dxa"/>
              <w:start w:w="100" w:type="dxa"/>
              <w:bottom w:w="80" w:type="dxa"/>
              <w:end w:w="100" w:type="dxa"/>
            </w:tcMar>
          </w:tcPr>
          <w:p>
            <w:pPr>
              <w:spacing w:before="0" w:after="0"/>
            </w:pPr>
            <w:r>
              <w:rPr>
                <w:sz w:val="17"/>
              </w:rPr>
              <w:t>VX-SCH-002</w:t>
            </w:r>
          </w:p>
        </w:tc>
        <w:tc>
          <w:tcPr>
            <w:tcW w:type="dxa" w:w="2600"/>
            <w:vAlign w:val="center"/>
            <w:tcMar>
              <w:top w:w="80" w:type="dxa"/>
              <w:start w:w="100" w:type="dxa"/>
              <w:bottom w:w="80" w:type="dxa"/>
              <w:end w:w="100" w:type="dxa"/>
            </w:tcMar>
          </w:tcPr>
          <w:p>
            <w:pPr>
              <w:spacing w:before="0" w:after="0"/>
            </w:pPr>
            <w:r>
              <w:rPr>
                <w:sz w:val="17"/>
              </w:rPr>
              <w:t>Interrupted search state shall be preserved and resumed after higher-priority work.</w:t>
            </w:r>
          </w:p>
        </w:tc>
        <w:tc>
          <w:tcPr>
            <w:tcW w:type="dxa" w:w="1400"/>
            <w:vAlign w:val="center"/>
            <w:tcMar>
              <w:top w:w="80" w:type="dxa"/>
              <w:start w:w="100" w:type="dxa"/>
              <w:bottom w:w="80" w:type="dxa"/>
              <w:end w:w="100" w:type="dxa"/>
            </w:tcMar>
          </w:tcPr>
          <w:p>
            <w:pPr>
              <w:spacing w:before="0" w:after="0"/>
            </w:pPr>
            <w:r>
              <w:rPr>
                <w:sz w:val="17"/>
              </w:rPr>
              <w:t>Sections 7.2, 7.6</w:t>
            </w:r>
          </w:p>
        </w:tc>
        <w:tc>
          <w:tcPr>
            <w:tcW w:type="dxa" w:w="2300"/>
            <w:vAlign w:val="center"/>
            <w:tcMar>
              <w:top w:w="80" w:type="dxa"/>
              <w:start w:w="100" w:type="dxa"/>
              <w:bottom w:w="80" w:type="dxa"/>
              <w:end w:w="100" w:type="dxa"/>
            </w:tcMar>
          </w:tcPr>
          <w:p>
            <w:pPr>
              <w:spacing w:before="0" w:after="0"/>
            </w:pPr>
            <w:r>
              <w:rPr>
                <w:sz w:val="17"/>
              </w:rPr>
              <w:t>RadarScheduler.py; PointingManager.py</w:t>
            </w:r>
          </w:p>
        </w:tc>
        <w:tc>
          <w:tcPr>
            <w:tcW w:type="dxa" w:w="2290"/>
            <w:vAlign w:val="center"/>
            <w:tcMar>
              <w:top w:w="80" w:type="dxa"/>
              <w:start w:w="100" w:type="dxa"/>
              <w:bottom w:w="80" w:type="dxa"/>
              <w:end w:w="100" w:type="dxa"/>
            </w:tcMar>
          </w:tcPr>
          <w:p>
            <w:pPr>
              <w:spacing w:before="0" w:after="0"/>
            </w:pPr>
            <w:r>
              <w:rPr>
                <w:sz w:val="17"/>
              </w:rPr>
              <w:t>Search interruption/resumption regression</w:t>
            </w:r>
          </w:p>
        </w:tc>
      </w:tr>
      <w:tr>
        <w:trPr>
          <w:cantSplit/>
        </w:trPr>
        <w:tc>
          <w:tcPr>
            <w:tcW w:type="dxa" w:w="1250"/>
            <w:vAlign w:val="center"/>
            <w:tcMar>
              <w:top w:w="80" w:type="dxa"/>
              <w:start w:w="100" w:type="dxa"/>
              <w:bottom w:w="80" w:type="dxa"/>
              <w:end w:w="100" w:type="dxa"/>
            </w:tcMar>
          </w:tcPr>
          <w:p>
            <w:pPr>
              <w:spacing w:before="0" w:after="0"/>
            </w:pPr>
            <w:r>
              <w:rPr>
                <w:sz w:val="17"/>
              </w:rPr>
              <w:t>VX-EXEC-002</w:t>
            </w:r>
          </w:p>
        </w:tc>
        <w:tc>
          <w:tcPr>
            <w:tcW w:type="dxa" w:w="2600"/>
            <w:vAlign w:val="center"/>
            <w:tcMar>
              <w:top w:w="80" w:type="dxa"/>
              <w:start w:w="100" w:type="dxa"/>
              <w:bottom w:w="80" w:type="dxa"/>
              <w:end w:w="100" w:type="dxa"/>
            </w:tcMar>
          </w:tcPr>
          <w:p>
            <w:pPr>
              <w:spacing w:before="0" w:after="0"/>
            </w:pPr>
            <w:r>
              <w:rPr>
                <w:sz w:val="17"/>
              </w:rPr>
              <w:t>RadarExecutor shall own dwell construction and source execution but shall not select the next radar task.</w:t>
            </w:r>
          </w:p>
        </w:tc>
        <w:tc>
          <w:tcPr>
            <w:tcW w:type="dxa" w:w="1400"/>
            <w:vAlign w:val="center"/>
            <w:tcMar>
              <w:top w:w="80" w:type="dxa"/>
              <w:start w:w="100" w:type="dxa"/>
              <w:bottom w:w="80" w:type="dxa"/>
              <w:end w:w="100" w:type="dxa"/>
            </w:tcMar>
          </w:tcPr>
          <w:p>
            <w:pPr>
              <w:spacing w:before="0" w:after="0"/>
            </w:pPr>
            <w:r>
              <w:rPr>
                <w:sz w:val="17"/>
              </w:rPr>
              <w:t>Section 9.2</w:t>
            </w:r>
          </w:p>
        </w:tc>
        <w:tc>
          <w:tcPr>
            <w:tcW w:type="dxa" w:w="2300"/>
            <w:vAlign w:val="center"/>
            <w:tcMar>
              <w:top w:w="80" w:type="dxa"/>
              <w:start w:w="100" w:type="dxa"/>
              <w:bottom w:w="80" w:type="dxa"/>
              <w:end w:w="100" w:type="dxa"/>
            </w:tcMar>
          </w:tcPr>
          <w:p>
            <w:pPr>
              <w:spacing w:before="0" w:after="0"/>
            </w:pPr>
            <w:r>
              <w:rPr>
                <w:sz w:val="17"/>
              </w:rPr>
              <w:t>RadarExecutor.py</w:t>
            </w:r>
          </w:p>
        </w:tc>
        <w:tc>
          <w:tcPr>
            <w:tcW w:type="dxa" w:w="2290"/>
            <w:vAlign w:val="center"/>
            <w:tcMar>
              <w:top w:w="80" w:type="dxa"/>
              <w:start w:w="100" w:type="dxa"/>
              <w:bottom w:w="80" w:type="dxa"/>
              <w:end w:w="100" w:type="dxa"/>
            </w:tcMar>
          </w:tcPr>
          <w:p>
            <w:pPr>
              <w:spacing w:before="0" w:after="0"/>
            </w:pPr>
            <w:r>
              <w:rPr>
                <w:sz w:val="17"/>
              </w:rPr>
              <w:t>Execution-boundary regression</w:t>
            </w:r>
          </w:p>
        </w:tc>
      </w:tr>
      <w:tr>
        <w:trPr>
          <w:cantSplit/>
        </w:trPr>
        <w:tc>
          <w:tcPr>
            <w:tcW w:type="dxa" w:w="1250"/>
            <w:vAlign w:val="center"/>
            <w:tcMar>
              <w:top w:w="80" w:type="dxa"/>
              <w:start w:w="100" w:type="dxa"/>
              <w:bottom w:w="80" w:type="dxa"/>
              <w:end w:w="100" w:type="dxa"/>
            </w:tcMar>
          </w:tcPr>
          <w:p>
            <w:pPr>
              <w:spacing w:before="0" w:after="0"/>
            </w:pPr>
            <w:r>
              <w:rPr>
                <w:sz w:val="17"/>
              </w:rPr>
              <w:t>VX-WFM-004</w:t>
            </w:r>
          </w:p>
        </w:tc>
        <w:tc>
          <w:tcPr>
            <w:tcW w:type="dxa" w:w="2600"/>
            <w:vAlign w:val="center"/>
            <w:tcMar>
              <w:top w:w="80" w:type="dxa"/>
              <w:start w:w="100" w:type="dxa"/>
              <w:bottom w:w="80" w:type="dxa"/>
              <w:end w:w="100" w:type="dxa"/>
            </w:tcMar>
          </w:tcPr>
          <w:p>
            <w:pPr>
              <w:spacing w:before="0" w:after="0"/>
            </w:pPr>
            <w:r>
              <w:rPr>
                <w:sz w:val="17"/>
              </w:rPr>
              <w:t>Mission and execution profiles shall select immutable, rate-qualified waveform definitions from the authoritative catalogue.</w:t>
            </w:r>
          </w:p>
        </w:tc>
        <w:tc>
          <w:tcPr>
            <w:tcW w:type="dxa" w:w="1400"/>
            <w:vAlign w:val="center"/>
            <w:tcMar>
              <w:top w:w="80" w:type="dxa"/>
              <w:start w:w="100" w:type="dxa"/>
              <w:bottom w:w="80" w:type="dxa"/>
              <w:end w:w="100" w:type="dxa"/>
            </w:tcMar>
          </w:tcPr>
          <w:p>
            <w:pPr>
              <w:spacing w:before="0" w:after="0"/>
            </w:pPr>
            <w:r>
              <w:rPr>
                <w:sz w:val="17"/>
              </w:rPr>
              <w:t>Sections 10.1, 10.1.2</w:t>
            </w:r>
          </w:p>
        </w:tc>
        <w:tc>
          <w:tcPr>
            <w:tcW w:type="dxa" w:w="2300"/>
            <w:vAlign w:val="center"/>
            <w:tcMar>
              <w:top w:w="80" w:type="dxa"/>
              <w:start w:w="100" w:type="dxa"/>
              <w:bottom w:w="80" w:type="dxa"/>
              <w:end w:w="100" w:type="dxa"/>
            </w:tcMar>
          </w:tcPr>
          <w:p>
            <w:pPr>
              <w:spacing w:before="0" w:after="0"/>
            </w:pPr>
            <w:r>
              <w:rPr>
                <w:sz w:val="17"/>
              </w:rPr>
              <w:t>WaveformLibrary.py; RadarExecutor.py</w:t>
            </w:r>
          </w:p>
        </w:tc>
        <w:tc>
          <w:tcPr>
            <w:tcW w:type="dxa" w:w="2290"/>
            <w:vAlign w:val="center"/>
            <w:tcMar>
              <w:top w:w="80" w:type="dxa"/>
              <w:start w:w="100" w:type="dxa"/>
              <w:bottom w:w="80" w:type="dxa"/>
              <w:end w:w="100" w:type="dxa"/>
            </w:tcMar>
          </w:tcPr>
          <w:p>
            <w:pPr>
              <w:spacing w:before="0" w:after="0"/>
            </w:pPr>
            <w:r>
              <w:rPr>
                <w:sz w:val="17"/>
              </w:rPr>
              <w:t>Waveform catalogue regression</w:t>
            </w:r>
          </w:p>
        </w:tc>
      </w:tr>
      <w:tr>
        <w:trPr>
          <w:cantSplit/>
        </w:trPr>
        <w:tc>
          <w:tcPr>
            <w:tcW w:type="dxa" w:w="1250"/>
          </w:tcPr>
          <w:p>
            <w:r>
              <w:t>VX-WFM-005</w:t>
            </w:r>
          </w:p>
        </w:tc>
        <w:tc>
          <w:tcPr>
            <w:tcW w:type="dxa" w:w="2600"/>
          </w:tcPr>
          <w:p>
            <w:r>
              <w:t>Golay operation shall transmit strict A-then-B pairs, combine complementary matched-filter outputs before Doppler and reject invalid pair ordering.</w:t>
            </w:r>
          </w:p>
        </w:tc>
        <w:tc>
          <w:tcPr>
            <w:tcW w:type="dxa" w:w="1400"/>
          </w:tcPr>
          <w:p>
            <w:r>
              <w:t>Sections 10, 11, 14</w:t>
            </w:r>
          </w:p>
        </w:tc>
        <w:tc>
          <w:tcPr>
            <w:tcW w:type="dxa" w:w="2300"/>
          </w:tcPr>
          <w:p>
            <w:r>
              <w:t>WaveformLibrary.py; RadarPlans.py; RadarProcessor.py</w:t>
            </w:r>
          </w:p>
        </w:tc>
        <w:tc>
          <w:tcPr>
            <w:tcW w:type="dxa" w:w="2290"/>
          </w:tcPr>
          <w:p>
            <w:r>
              <w:t>TestGolayOperational.py</w:t>
            </w:r>
          </w:p>
        </w:tc>
      </w:tr>
      <w:tr>
        <w:trPr>
          <w:cantSplit/>
        </w:trPr>
        <w:tc>
          <w:tcPr>
            <w:tcW w:type="dxa" w:w="1250"/>
          </w:tcPr>
          <w:p>
            <w:r>
              <w:t>VX-X660-001</w:t>
            </w:r>
          </w:p>
        </w:tc>
        <w:tc>
          <w:tcPr>
            <w:tcW w:type="dxa" w:w="2600"/>
          </w:tcPr>
          <w:p>
            <w:r>
              <w:t>Operational azimuth shall use calibrated absolute multi-turn X6-60 encoder feedback with North=0 degrees and clockwise-positive public bearings.</w:t>
            </w:r>
          </w:p>
        </w:tc>
        <w:tc>
          <w:tcPr>
            <w:tcW w:type="dxa" w:w="1400"/>
          </w:tcPr>
          <w:p>
            <w:r>
              <w:t>Sections 5, 8, 12</w:t>
            </w:r>
          </w:p>
        </w:tc>
        <w:tc>
          <w:tcPr>
            <w:tcW w:type="dxa" w:w="2300"/>
          </w:tcPr>
          <w:p>
            <w:r>
              <w:t>X660ReadOnlyController.py; X660OperationalController.py</w:t>
            </w:r>
          </w:p>
        </w:tc>
        <w:tc>
          <w:tcPr>
            <w:tcW w:type="dxa" w:w="2290"/>
          </w:tcPr>
          <w:p>
            <w:r>
              <w:t>Calibration and operational scan evidence</w:t>
            </w:r>
          </w:p>
        </w:tc>
      </w:tr>
      <w:tr>
        <w:trPr>
          <w:cantSplit/>
        </w:trPr>
        <w:tc>
          <w:tcPr>
            <w:tcW w:type="dxa" w:w="1250"/>
          </w:tcPr>
          <w:p>
            <w:r>
              <w:t>VX-X660-002</w:t>
            </w:r>
          </w:p>
        </w:tc>
        <w:tc>
          <w:tcPr>
            <w:tcW w:type="dxa" w:w="2600"/>
          </w:tcPr>
          <w:p>
            <w:r>
              <w:t>Live X6-60 motion shall be opt-in, acknowledgement-gated, allow-listed and commanded only through PointingManager.</w:t>
            </w:r>
          </w:p>
        </w:tc>
        <w:tc>
          <w:tcPr>
            <w:tcW w:type="dxa" w:w="1400"/>
          </w:tcPr>
          <w:p>
            <w:r>
              <w:t>Sections 8.6, 12.4, 16.4</w:t>
            </w:r>
          </w:p>
        </w:tc>
        <w:tc>
          <w:tcPr>
            <w:tcW w:type="dxa" w:w="2300"/>
          </w:tcPr>
          <w:p>
            <w:r>
              <w:t>X660GuardedMotionTransport.py; PointingManager.py</w:t>
            </w:r>
          </w:p>
        </w:tc>
        <w:tc>
          <w:tcPr>
            <w:tcW w:type="dxa" w:w="2290"/>
          </w:tcPr>
          <w:p>
            <w:r>
              <w:t>Guarded transport and controller tests</w:t>
            </w:r>
          </w:p>
        </w:tc>
      </w:tr>
      <w:tr>
        <w:trPr>
          <w:cantSplit/>
        </w:trPr>
        <w:tc>
          <w:tcPr>
            <w:tcW w:type="dxa" w:w="1250"/>
          </w:tcPr>
          <w:p>
            <w:r>
              <w:t>VX-X660-003</w:t>
            </w:r>
          </w:p>
        </w:tc>
        <w:tc>
          <w:tcPr>
            <w:tcW w:type="dxa" w:w="2600"/>
          </w:tcPr>
          <w:p>
            <w:r>
              <w:t>Startup shall adopt valid current encoder position and update the display without issuing a motion command.</w:t>
            </w:r>
          </w:p>
        </w:tc>
        <w:tc>
          <w:tcPr>
            <w:tcW w:type="dxa" w:w="1400"/>
          </w:tcPr>
          <w:p>
            <w:r>
              <w:t>Section 8.6</w:t>
            </w:r>
          </w:p>
        </w:tc>
        <w:tc>
          <w:tcPr>
            <w:tcW w:type="dxa" w:w="2300"/>
          </w:tcPr>
          <w:p>
            <w:r>
              <w:t>VanguardxMain_scheduler.py</w:t>
            </w:r>
          </w:p>
        </w:tc>
        <w:tc>
          <w:tcPr>
            <w:tcW w:type="dxa" w:w="2290"/>
          </w:tcPr>
          <w:p>
            <w:r>
              <w:t>TestX660StartupCurrentPosition.py</w:t>
            </w:r>
          </w:p>
        </w:tc>
      </w:tr>
      <w:tr>
        <w:trPr>
          <w:cantSplit/>
        </w:trPr>
        <w:tc>
          <w:tcPr>
            <w:tcW w:type="dxa" w:w="1250"/>
          </w:tcPr>
          <w:p>
            <w:r>
              <w:t>VX-DSP-001</w:t>
            </w:r>
          </w:p>
        </w:tc>
        <w:tc>
          <w:tcPr>
            <w:tcW w:type="dxa" w:w="2600"/>
          </w:tcPr>
          <w:p>
            <w:r>
              <w:t>The PPI shall be North-up with bearings increasing clockwise and shall apply one geometry mapping to all PPI objects.</w:t>
            </w:r>
          </w:p>
        </w:tc>
        <w:tc>
          <w:tcPr>
            <w:tcW w:type="dxa" w:w="1400"/>
          </w:tcPr>
          <w:p>
            <w:r>
              <w:t>Section 5.4</w:t>
            </w:r>
          </w:p>
        </w:tc>
        <w:tc>
          <w:tcPr>
            <w:tcW w:type="dxa" w:w="2300"/>
          </w:tcPr>
          <w:p>
            <w:r>
              <w:t>RadarDisplayQt5.py</w:t>
            </w:r>
          </w:p>
        </w:tc>
        <w:tc>
          <w:tcPr>
            <w:tcW w:type="dxa" w:w="2290"/>
          </w:tcPr>
          <w:p>
            <w:r>
              <w:t>TestRadarDisplayGeometry.py</w:t>
            </w:r>
          </w:p>
        </w:tc>
      </w:tr>
    </w:tbl>
    <w:p>
      <w:pPr>
        <w:pStyle w:val="Heading1"/>
      </w:pPr>
      <w:r>
        <w:t>19. Development Roadmap</w:t>
      </w:r>
    </w:p>
    <w:tbl>
      <w:tblPr>
        <w:tblStyle w:val="TableGrid"/>
        <w:tblW w:type="auto" w:w="0"/>
        <w:jc w:val="center"/>
        <w:tblLook w:firstColumn="1" w:firstRow="1" w:lastColumn="0" w:lastRow="0" w:noHBand="0" w:noVBand="1" w:val="04A0"/>
      </w:tblPr>
      <w:tblGrid>
        <w:gridCol w:w="2520"/>
        <w:gridCol w:w="2520"/>
        <w:gridCol w:w="2520"/>
        <w:gridCol w:w="2520"/>
      </w:tblGrid>
      <w:tr>
        <w:trPr>
          <w:tblHeader/>
          <w:cantSplit/>
        </w:trPr>
        <w:tc>
          <w:tcPr>
            <w:tcW w:type="dxa" w:w="2520"/>
            <w:shd w:fill="1F4E79"/>
            <w:vAlign w:val="center"/>
            <w:tcMar>
              <w:top w:w="80" w:type="dxa"/>
              <w:start w:w="100" w:type="dxa"/>
              <w:bottom w:w="80" w:type="dxa"/>
              <w:end w:w="100" w:type="dxa"/>
            </w:tcMar>
          </w:tcPr>
          <w:p>
            <w:pPr>
              <w:spacing w:before="0" w:after="0"/>
            </w:pPr>
            <w:r>
              <w:rPr>
                <w:b/>
                <w:color w:val="FFFFFF"/>
                <w:sz w:val="17"/>
              </w:rPr>
              <w:t>Baseline</w:t>
            </w:r>
          </w:p>
        </w:tc>
        <w:tc>
          <w:tcPr>
            <w:tcW w:type="dxa" w:w="2520"/>
            <w:shd w:fill="1F4E79"/>
            <w:vAlign w:val="center"/>
            <w:tcMar>
              <w:top w:w="80" w:type="dxa"/>
              <w:start w:w="100" w:type="dxa"/>
              <w:bottom w:w="80" w:type="dxa"/>
              <w:end w:w="100" w:type="dxa"/>
            </w:tcMar>
          </w:tcPr>
          <w:p>
            <w:pPr>
              <w:spacing w:before="0" w:after="0"/>
            </w:pPr>
            <w:r>
              <w:rPr>
                <w:b/>
                <w:color w:val="FFFFFF"/>
                <w:sz w:val="17"/>
              </w:rPr>
              <w:t>Content</w:t>
            </w:r>
          </w:p>
        </w:tc>
        <w:tc>
          <w:tcPr>
            <w:tcW w:type="dxa" w:w="2520"/>
            <w:shd w:fill="1F4E79"/>
            <w:vAlign w:val="center"/>
            <w:tcMar>
              <w:top w:w="80" w:type="dxa"/>
              <w:start w:w="100" w:type="dxa"/>
              <w:bottom w:w="80" w:type="dxa"/>
              <w:end w:w="100" w:type="dxa"/>
            </w:tcMar>
          </w:tcPr>
          <w:p>
            <w:pPr>
              <w:spacing w:before="0" w:after="0"/>
            </w:pPr>
            <w:r>
              <w:rPr>
                <w:b/>
                <w:color w:val="FFFFFF"/>
                <w:sz w:val="17"/>
              </w:rPr>
              <w:t>Hardware impact</w:t>
            </w:r>
          </w:p>
        </w:tc>
        <w:tc>
          <w:tcPr>
            <w:tcW w:type="dxa" w:w="2520"/>
            <w:shd w:fill="1F4E79"/>
            <w:vAlign w:val="center"/>
            <w:tcMar>
              <w:top w:w="80" w:type="dxa"/>
              <w:start w:w="100" w:type="dxa"/>
              <w:bottom w:w="80" w:type="dxa"/>
              <w:end w:w="100" w:type="dxa"/>
            </w:tcMar>
          </w:tcPr>
          <w:p>
            <w:pPr>
              <w:spacing w:before="0" w:after="0"/>
            </w:pPr>
            <w:r>
              <w:rPr>
                <w:b/>
                <w:color w:val="FFFFFF"/>
                <w:sz w:val="17"/>
              </w:rPr>
              <w:t>Status</w:t>
            </w:r>
          </w:p>
        </w:tc>
      </w:tr>
      <w:tr>
        <w:trPr>
          <w:cantSplit/>
        </w:trPr>
        <w:tc>
          <w:tcPr>
            <w:tcW w:type="dxa" w:w="2520"/>
            <w:vAlign w:val="center"/>
            <w:tcMar>
              <w:top w:w="80" w:type="dxa"/>
              <w:start w:w="100" w:type="dxa"/>
              <w:bottom w:w="80" w:type="dxa"/>
              <w:end w:w="100" w:type="dxa"/>
            </w:tcMar>
          </w:tcPr>
          <w:p>
            <w:pPr>
              <w:spacing w:before="0" w:after="0"/>
            </w:pPr>
            <w:r>
              <w:rPr>
                <w:sz w:val="17"/>
              </w:rPr>
              <w:t>0.3</w:t>
            </w:r>
          </w:p>
        </w:tc>
        <w:tc>
          <w:tcPr>
            <w:tcW w:type="dxa" w:w="2520"/>
            <w:vAlign w:val="center"/>
            <w:tcMar>
              <w:top w:w="80" w:type="dxa"/>
              <w:start w:w="100" w:type="dxa"/>
              <w:bottom w:w="80" w:type="dxa"/>
              <w:end w:w="100" w:type="dxa"/>
            </w:tcMar>
          </w:tcPr>
          <w:p>
            <w:pPr>
              <w:spacing w:before="0" w:after="0"/>
            </w:pPr>
            <w:r>
              <w:rPr>
                <w:sz w:val="17"/>
              </w:rPr>
              <w:t>Tasks, navigation, pointing and scheduler modules</w:t>
            </w:r>
          </w:p>
        </w:tc>
        <w:tc>
          <w:tcPr>
            <w:tcW w:type="dxa" w:w="2520"/>
            <w:vAlign w:val="center"/>
            <w:tcMar>
              <w:top w:w="80" w:type="dxa"/>
              <w:start w:w="100" w:type="dxa"/>
              <w:bottom w:w="80" w:type="dxa"/>
              <w:end w:w="100" w:type="dxa"/>
            </w:tcMar>
          </w:tcPr>
          <w:p>
            <w:pPr>
              <w:spacing w:before="0" w:after="0"/>
            </w:pPr>
            <w:r>
              <w:rPr>
                <w:sz w:val="17"/>
              </w:rPr>
              <w:t>None</w:t>
            </w:r>
          </w:p>
        </w:tc>
        <w:tc>
          <w:tcPr>
            <w:tcW w:type="dxa" w:w="2520"/>
            <w:vAlign w:val="center"/>
            <w:tcMar>
              <w:top w:w="80" w:type="dxa"/>
              <w:start w:w="100" w:type="dxa"/>
              <w:bottom w:w="80" w:type="dxa"/>
              <w:end w:w="100" w:type="dxa"/>
            </w:tcMar>
          </w:tcPr>
          <w:p>
            <w:pPr>
              <w:spacing w:before="0" w:after="0"/>
            </w:pPr>
            <w:r>
              <w:rPr>
                <w:sz w:val="17"/>
              </w:rPr>
              <w:t>Complete</w:t>
            </w:r>
          </w:p>
        </w:tc>
      </w:tr>
      <w:tr>
        <w:trPr>
          <w:cantSplit/>
        </w:trPr>
        <w:tc>
          <w:tcPr>
            <w:tcW w:type="dxa" w:w="2520"/>
            <w:vAlign w:val="center"/>
            <w:tcMar>
              <w:top w:w="80" w:type="dxa"/>
              <w:start w:w="100" w:type="dxa"/>
              <w:bottom w:w="80" w:type="dxa"/>
              <w:end w:w="100" w:type="dxa"/>
            </w:tcMar>
          </w:tcPr>
          <w:p>
            <w:pPr>
              <w:spacing w:before="0" w:after="0"/>
            </w:pPr>
            <w:r>
              <w:rPr>
                <w:sz w:val="17"/>
              </w:rPr>
              <w:t>0.4</w:t>
            </w:r>
          </w:p>
        </w:tc>
        <w:tc>
          <w:tcPr>
            <w:tcW w:type="dxa" w:w="2520"/>
            <w:vAlign w:val="center"/>
            <w:tcMar>
              <w:top w:w="80" w:type="dxa"/>
              <w:start w:w="100" w:type="dxa"/>
              <w:bottom w:w="80" w:type="dxa"/>
              <w:end w:w="100" w:type="dxa"/>
            </w:tcMar>
          </w:tcPr>
          <w:p>
            <w:pPr>
              <w:spacing w:before="0" w:after="0"/>
            </w:pPr>
            <w:r>
              <w:rPr>
                <w:sz w:val="17"/>
              </w:rPr>
              <w:t>RadarExecutor profiles, plans and execution metadata</w:t>
            </w:r>
          </w:p>
        </w:tc>
        <w:tc>
          <w:tcPr>
            <w:tcW w:type="dxa" w:w="2520"/>
            <w:vAlign w:val="center"/>
            <w:tcMar>
              <w:top w:w="80" w:type="dxa"/>
              <w:start w:w="100" w:type="dxa"/>
              <w:bottom w:w="80" w:type="dxa"/>
              <w:end w:w="100" w:type="dxa"/>
            </w:tcMar>
          </w:tcPr>
          <w:p>
            <w:pPr>
              <w:spacing w:before="0" w:after="0"/>
            </w:pPr>
            <w:r>
              <w:rPr>
                <w:sz w:val="17"/>
              </w:rPr>
              <w:t>None</w:t>
            </w:r>
          </w:p>
        </w:tc>
        <w:tc>
          <w:tcPr>
            <w:tcW w:type="dxa" w:w="2520"/>
            <w:vAlign w:val="center"/>
            <w:tcMar>
              <w:top w:w="80" w:type="dxa"/>
              <w:start w:w="100" w:type="dxa"/>
              <w:bottom w:w="80" w:type="dxa"/>
              <w:end w:w="100" w:type="dxa"/>
            </w:tcMar>
          </w:tcPr>
          <w:p>
            <w:pPr>
              <w:spacing w:before="0" w:after="0"/>
            </w:pPr>
            <w:r>
              <w:rPr>
                <w:sz w:val="17"/>
              </w:rPr>
              <w:t>Complete</w:t>
            </w:r>
          </w:p>
        </w:tc>
      </w:tr>
      <w:tr>
        <w:trPr>
          <w:cantSplit/>
        </w:trPr>
        <w:tc>
          <w:tcPr>
            <w:tcW w:type="dxa" w:w="2520"/>
            <w:vAlign w:val="center"/>
            <w:tcMar>
              <w:top w:w="80" w:type="dxa"/>
              <w:start w:w="100" w:type="dxa"/>
              <w:bottom w:w="80" w:type="dxa"/>
              <w:end w:w="100" w:type="dxa"/>
            </w:tcMar>
          </w:tcPr>
          <w:p>
            <w:r>
              <w:t>0.6</w:t>
            </w:r>
          </w:p>
        </w:tc>
        <w:tc>
          <w:tcPr>
            <w:tcW w:type="dxa" w:w="2520"/>
            <w:vAlign w:val="center"/>
            <w:tcMar>
              <w:top w:w="80" w:type="dxa"/>
              <w:start w:w="100" w:type="dxa"/>
              <w:bottom w:w="80" w:type="dxa"/>
              <w:end w:w="100" w:type="dxa"/>
            </w:tcMar>
          </w:tcPr>
          <w:p>
            <w:r>
              <w:t>PointingManager sole motor ownership</w:t>
            </w:r>
          </w:p>
        </w:tc>
        <w:tc>
          <w:tcPr>
            <w:tcW w:type="dxa" w:w="2520"/>
            <w:vAlign w:val="center"/>
            <w:tcMar>
              <w:top w:w="80" w:type="dxa"/>
              <w:start w:w="100" w:type="dxa"/>
              <w:bottom w:w="80" w:type="dxa"/>
              <w:end w:w="100" w:type="dxa"/>
            </w:tcMar>
          </w:tcPr>
          <w:p>
            <w:r>
              <w:t>Motor simulator and X6-60 abstraction</w:t>
            </w:r>
          </w:p>
        </w:tc>
        <w:tc>
          <w:tcPr>
            <w:tcW w:type="dxa" w:w="2520"/>
            <w:vAlign w:val="center"/>
            <w:tcMar>
              <w:top w:w="80" w:type="dxa"/>
              <w:start w:w="100" w:type="dxa"/>
              <w:bottom w:w="80" w:type="dxa"/>
              <w:end w:w="100" w:type="dxa"/>
            </w:tcMar>
          </w:tcPr>
          <w:p>
            <w:r>
              <w:t>Complete</w:t>
            </w:r>
          </w:p>
        </w:tc>
      </w:tr>
      <w:tr>
        <w:trPr>
          <w:cantSplit/>
        </w:trPr>
        <w:tc>
          <w:tcPr>
            <w:tcW w:type="dxa" w:w="2520"/>
            <w:vAlign w:val="center"/>
            <w:tcMar>
              <w:top w:w="80" w:type="dxa"/>
              <w:start w:w="100" w:type="dxa"/>
              <w:bottom w:w="80" w:type="dxa"/>
              <w:end w:w="100" w:type="dxa"/>
            </w:tcMar>
          </w:tcPr>
          <w:p>
            <w:pPr>
              <w:spacing w:before="0" w:after="0"/>
            </w:pPr>
            <w:r>
              <w:rPr>
                <w:sz w:val="17"/>
              </w:rPr>
              <w:t>0.7</w:t>
            </w:r>
          </w:p>
        </w:tc>
        <w:tc>
          <w:tcPr>
            <w:tcW w:type="dxa" w:w="2520"/>
            <w:vAlign w:val="center"/>
            <w:tcMar>
              <w:top w:w="80" w:type="dxa"/>
              <w:start w:w="100" w:type="dxa"/>
              <w:bottom w:w="80" w:type="dxa"/>
              <w:end w:w="100" w:type="dxa"/>
            </w:tcMar>
          </w:tcPr>
          <w:p>
            <w:pPr>
              <w:spacing w:before="0" w:after="0"/>
            </w:pPr>
            <w:r>
              <w:rPr>
                <w:sz w:val="17"/>
              </w:rPr>
              <w:t>Ettus hardware-timed receive execution</w:t>
            </w:r>
          </w:p>
        </w:tc>
        <w:tc>
          <w:tcPr>
            <w:tcW w:type="dxa" w:w="2520"/>
            <w:vAlign w:val="center"/>
            <w:tcMar>
              <w:top w:w="80" w:type="dxa"/>
              <w:start w:w="100" w:type="dxa"/>
              <w:bottom w:w="80" w:type="dxa"/>
              <w:end w:w="100" w:type="dxa"/>
            </w:tcMar>
          </w:tcPr>
          <w:p>
            <w:pPr>
              <w:spacing w:before="0" w:after="0"/>
            </w:pPr>
            <w:r>
              <w:rPr>
                <w:sz w:val="17"/>
              </w:rPr>
              <w:t>B200mini receive</w:t>
            </w:r>
          </w:p>
        </w:tc>
        <w:tc>
          <w:tcPr>
            <w:tcW w:type="dxa" w:w="2520"/>
            <w:vAlign w:val="center"/>
            <w:tcMar>
              <w:top w:w="80" w:type="dxa"/>
              <w:start w:w="100" w:type="dxa"/>
              <w:bottom w:w="80" w:type="dxa"/>
              <w:end w:w="100" w:type="dxa"/>
            </w:tcMar>
          </w:tcPr>
          <w:p>
            <w:pPr>
              <w:spacing w:before="0" w:after="0"/>
            </w:pPr>
            <w:r>
              <w:rPr>
                <w:sz w:val="17"/>
              </w:rPr>
              <w:t>Implemented baseline</w:t>
            </w:r>
          </w:p>
        </w:tc>
      </w:tr>
      <w:tr>
        <w:trPr>
          <w:cantSplit/>
        </w:trPr>
        <w:tc>
          <w:tcPr>
            <w:tcW w:type="dxa" w:w="2520"/>
            <w:tcW w:type="dxa" w:w="2520"/>
            <w:vAlign w:val="center"/>
            <w:tcMar>
              <w:top w:w="80" w:type="dxa"/>
              <w:start w:w="100" w:type="dxa"/>
              <w:bottom w:w="80" w:type="dxa"/>
              <w:end w:w="100" w:type="dxa"/>
            </w:tcMar>
          </w:tcPr>
          <w:p>
            <w:pPr>
              <w:spacing w:before="0" w:after="0"/>
            </w:pPr>
            <w:r>
              <w:rPr>
                <w:sz w:val="17"/>
              </w:rPr>
              <w:t>0.7b</w:t>
            </w:r>
          </w:p>
        </w:tc>
        <w:tc>
          <w:tcPr>
            <w:tcW w:type="dxa" w:w="2520"/>
            <w:tcW w:type="dxa" w:w="2520"/>
            <w:vAlign w:val="center"/>
            <w:tcMar>
              <w:top w:w="80" w:type="dxa"/>
              <w:start w:w="100" w:type="dxa"/>
              <w:bottom w:w="80" w:type="dxa"/>
              <w:end w:w="100" w:type="dxa"/>
            </w:tcMar>
          </w:tcPr>
          <w:p>
            <w:pPr>
              <w:spacing w:before="0" w:after="0"/>
            </w:pPr>
            <w:r>
              <w:rPr>
                <w:sz w:val="17"/>
              </w:rPr>
              <w:t>Fixed 40 MS/s waveform and operator timing decisions</w:t>
            </w:r>
          </w:p>
        </w:tc>
        <w:tc>
          <w:tcPr>
            <w:tcW w:type="dxa" w:w="2520"/>
            <w:tcW w:type="dxa" w:w="2520"/>
            <w:vAlign w:val="center"/>
            <w:tcMar>
              <w:top w:w="80" w:type="dxa"/>
              <w:start w:w="100" w:type="dxa"/>
              <w:bottom w:w="80" w:type="dxa"/>
              <w:end w:w="100" w:type="dxa"/>
            </w:tcMar>
          </w:tcPr>
          <w:p>
            <w:pPr>
              <w:spacing w:before="0" w:after="0"/>
            </w:pPr>
            <w:r>
              <w:rPr>
                <w:sz w:val="17"/>
              </w:rPr>
              <w:t>No transmit enable; software contract and implementation preparation</w:t>
            </w:r>
          </w:p>
        </w:tc>
        <w:tc>
          <w:tcPr>
            <w:tcW w:type="dxa" w:w="2520"/>
            <w:tcW w:type="dxa" w:w="2520"/>
            <w:vAlign w:val="center"/>
            <w:tcMar>
              <w:top w:w="80" w:type="dxa"/>
              <w:start w:w="100" w:type="dxa"/>
              <w:bottom w:w="80" w:type="dxa"/>
              <w:end w:w="100" w:type="dxa"/>
            </w:tcMar>
          </w:tcPr>
          <w:p>
            <w:pPr>
              <w:spacing w:before="0" w:after="0"/>
            </w:pPr>
            <w:r>
              <w:rPr>
                <w:sz w:val="17"/>
              </w:rPr>
              <w:t>Superseded</w:t>
            </w:r>
          </w:p>
        </w:tc>
      </w:tr>
      <w:tr>
        <w:trPr>
          <w:cantSplit/>
        </w:trPr>
        <w:tc>
          <w:tcPr>
            <w:tcW w:type="dxa" w:w="2520"/>
            <w:vAlign w:val="center"/>
            <w:tcMar>
              <w:top w:w="80" w:type="dxa"/>
              <w:start w:w="100" w:type="dxa"/>
              <w:bottom w:w="80" w:type="dxa"/>
              <w:end w:w="100" w:type="dxa"/>
            </w:tcMar>
          </w:tcPr>
          <w:p>
            <w:pPr>
              <w:spacing w:before="0" w:after="0"/>
            </w:pPr>
            <w:r>
              <w:rPr>
                <w:sz w:val="17"/>
              </w:rPr>
              <w:t>0.7c</w:t>
            </w:r>
          </w:p>
        </w:tc>
        <w:tc>
          <w:tcPr>
            <w:tcW w:type="dxa" w:w="2520"/>
            <w:vAlign w:val="center"/>
            <w:tcMar>
              <w:top w:w="80" w:type="dxa"/>
              <w:start w:w="100" w:type="dxa"/>
              <w:bottom w:w="80" w:type="dxa"/>
              <w:end w:w="100" w:type="dxa"/>
            </w:tcMar>
          </w:tcPr>
          <w:p>
            <w:pPr>
              <w:spacing w:before="0" w:after="0"/>
            </w:pPr>
            <w:r>
              <w:rPr>
                <w:sz w:val="17"/>
              </w:rPr>
              <w:t>Bounded timed TX/RX protected hardware validation</w:t>
            </w:r>
          </w:p>
        </w:tc>
        <w:tc>
          <w:tcPr>
            <w:tcW w:type="dxa" w:w="2520"/>
            <w:vAlign w:val="center"/>
            <w:tcMar>
              <w:top w:w="80" w:type="dxa"/>
              <w:start w:w="100" w:type="dxa"/>
              <w:bottom w:w="80" w:type="dxa"/>
              <w:end w:w="100" w:type="dxa"/>
            </w:tcMar>
          </w:tcPr>
          <w:p>
            <w:pPr>
              <w:spacing w:before="0" w:after="0"/>
            </w:pPr>
            <w:r>
              <w:rPr>
                <w:sz w:val="17"/>
              </w:rPr>
              <w:t>B200mini low-power TX and attenuated RX2 loopback; TRM disconnected</w:t>
            </w:r>
          </w:p>
        </w:tc>
        <w:tc>
          <w:tcPr>
            <w:tcW w:type="dxa" w:w="2520"/>
            <w:vAlign w:val="center"/>
            <w:tcMar>
              <w:top w:w="80" w:type="dxa"/>
              <w:start w:w="100" w:type="dxa"/>
              <w:bottom w:w="80" w:type="dxa"/>
              <w:end w:w="100" w:type="dxa"/>
            </w:tcMar>
          </w:tcPr>
          <w:p>
            <w:pPr>
              <w:spacing w:before="0" w:after="0"/>
            </w:pPr>
            <w:r>
              <w:rPr>
                <w:sz w:val="17"/>
              </w:rPr>
              <w:t>Completed hardware-validation baseline</w:t>
            </w:r>
          </w:p>
        </w:tc>
      </w:tr>
      <w:tr>
        <w:trPr>
          <w:cantSplit/>
        </w:trPr>
        <w:tc>
          <w:tcPr>
            <w:tcW w:type="dxa" w:w="2520"/>
            <w:vAlign w:val="center"/>
            <w:tcMar>
              <w:top w:w="80" w:type="dxa"/>
              <w:start w:w="100" w:type="dxa"/>
              <w:bottom w:w="80" w:type="dxa"/>
              <w:end w:w="100" w:type="dxa"/>
            </w:tcMar>
          </w:tcPr>
          <w:p>
            <w:pPr>
              <w:spacing w:before="0" w:after="0"/>
            </w:pPr>
            <w:r>
              <w:rPr>
                <w:sz w:val="17"/>
              </w:rPr>
              <w:t>0.7d</w:t>
            </w:r>
          </w:p>
        </w:tc>
        <w:tc>
          <w:tcPr>
            <w:tcW w:type="dxa" w:w="2520"/>
            <w:vAlign w:val="center"/>
            <w:tcMar>
              <w:top w:w="80" w:type="dxa"/>
              <w:start w:w="100" w:type="dxa"/>
              <w:bottom w:w="80" w:type="dxa"/>
              <w:end w:w="100" w:type="dxa"/>
            </w:tcMar>
          </w:tcPr>
          <w:p>
            <w:pPr>
              <w:spacing w:before="0" w:after="0"/>
            </w:pPr>
            <w:r>
              <w:rPr>
                <w:sz w:val="17"/>
              </w:rPr>
              <w:t>Mission profiles, scheduler arbitration, dwell-management and waveform-catalogue architecture</w:t>
            </w:r>
          </w:p>
        </w:tc>
        <w:tc>
          <w:tcPr>
            <w:tcW w:type="dxa" w:w="2520"/>
            <w:vAlign w:val="center"/>
            <w:tcMar>
              <w:top w:w="80" w:type="dxa"/>
              <w:start w:w="100" w:type="dxa"/>
              <w:bottom w:w="80" w:type="dxa"/>
              <w:end w:w="100" w:type="dxa"/>
            </w:tcMar>
          </w:tcPr>
          <w:p>
            <w:pPr>
              <w:spacing w:before="0" w:after="0"/>
            </w:pPr>
            <w:r>
              <w:rPr>
                <w:sz w:val="17"/>
              </w:rPr>
              <w:t>Documentation and simulation only; no ATR/TRM enable</w:t>
            </w:r>
          </w:p>
        </w:tc>
        <w:tc>
          <w:tcPr>
            <w:tcW w:type="dxa" w:w="2520"/>
            <w:vAlign w:val="center"/>
            <w:tcMar>
              <w:top w:w="80" w:type="dxa"/>
              <w:start w:w="100" w:type="dxa"/>
              <w:bottom w:w="80" w:type="dxa"/>
              <w:end w:w="100" w:type="dxa"/>
            </w:tcMar>
          </w:tcPr>
          <w:p>
            <w:pPr>
              <w:spacing w:before="0" w:after="0"/>
            </w:pPr>
            <w:r>
              <w:rPr>
                <w:sz w:val="17"/>
              </w:rPr>
              <w:t>Superseded</w:t>
            </w:r>
          </w:p>
        </w:tc>
      </w:tr>
      <w:tr>
        <w:trPr>
          <w:cantSplit/>
        </w:trPr>
        <w:tc>
          <w:tcPr>
            <w:tcW w:type="dxa" w:w="2520"/>
            <w:vAlign w:val="center"/>
            <w:tcMar>
              <w:top w:w="80" w:type="dxa"/>
              <w:start w:w="100" w:type="dxa"/>
              <w:bottom w:w="80" w:type="dxa"/>
              <w:end w:w="100" w:type="dxa"/>
            </w:tcMar>
          </w:tcPr>
          <w:p>
            <w:pPr>
              <w:spacing w:before="0" w:after="0"/>
            </w:pPr>
            <w:r>
              <w:rPr>
                <w:sz w:val="17"/>
              </w:rPr>
              <w:t>0.7e</w:t>
            </w:r>
          </w:p>
        </w:tc>
        <w:tc>
          <w:tcPr>
            <w:tcW w:type="dxa" w:w="2520"/>
            <w:vAlign w:val="center"/>
            <w:tcMar>
              <w:top w:w="80" w:type="dxa"/>
              <w:start w:w="100" w:type="dxa"/>
              <w:bottom w:w="80" w:type="dxa"/>
              <w:end w:w="100" w:type="dxa"/>
            </w:tcMar>
          </w:tcPr>
          <w:p>
            <w:pPr>
              <w:spacing w:before="0" w:after="0"/>
            </w:pPr>
            <w:r>
              <w:rPr>
                <w:sz w:val="17"/>
              </w:rPr>
              <w:t>Measured CPI timing, 5 ms command lead and explicit 100 ms scheduler cadence</w:t>
            </w:r>
          </w:p>
        </w:tc>
        <w:tc>
          <w:tcPr>
            <w:tcW w:type="dxa" w:w="2520"/>
            <w:vAlign w:val="center"/>
            <w:tcMar>
              <w:top w:w="80" w:type="dxa"/>
              <w:start w:w="100" w:type="dxa"/>
              <w:bottom w:w="80" w:type="dxa"/>
              <w:end w:w="100" w:type="dxa"/>
            </w:tcMar>
          </w:tcPr>
          <w:p>
            <w:pPr>
              <w:spacing w:before="0" w:after="0"/>
            </w:pPr>
            <w:r>
              <w:rPr>
                <w:sz w:val="17"/>
              </w:rPr>
              <w:t>Protected B200mini timed TX/RX stress test; ATR/TRM/PA disabled</w:t>
            </w:r>
          </w:p>
        </w:tc>
        <w:tc>
          <w:tcPr>
            <w:tcW w:type="dxa" w:w="2520"/>
            <w:vAlign w:val="center"/>
            <w:tcMar>
              <w:top w:w="80" w:type="dxa"/>
              <w:start w:w="100" w:type="dxa"/>
              <w:bottom w:w="80" w:type="dxa"/>
              <w:end w:w="100" w:type="dxa"/>
            </w:tcMar>
          </w:tcPr>
          <w:p>
            <w:pPr>
              <w:spacing w:before="0" w:after="0"/>
            </w:pPr>
            <w:r>
              <w:rPr>
                <w:sz w:val="17"/>
              </w:rPr>
              <w:t>Superseded</w:t>
            </w:r>
          </w:p>
        </w:tc>
      </w:tr>
      <w:tr>
        <w:trPr>
          <w:cantSplit/>
        </w:trPr>
        <w:tc>
          <w:tcPr>
            <w:tcW w:type="dxa" w:w="2520"/>
            <w:vAlign w:val="center"/>
            <w:tcMar>
              <w:top w:w="80" w:type="dxa"/>
              <w:start w:w="100" w:type="dxa"/>
              <w:bottom w:w="80" w:type="dxa"/>
              <w:end w:w="100" w:type="dxa"/>
            </w:tcMar>
          </w:tcPr>
          <w:p>
            <w:r>
              <w:t>0.7f</w:t>
            </w:r>
          </w:p>
        </w:tc>
        <w:tc>
          <w:tcPr>
            <w:tcW w:type="dxa" w:w="2520"/>
            <w:vAlign w:val="center"/>
            <w:tcMar>
              <w:top w:w="80" w:type="dxa"/>
              <w:start w:w="100" w:type="dxa"/>
              <w:bottom w:w="80" w:type="dxa"/>
              <w:end w:w="100" w:type="dxa"/>
            </w:tcMar>
          </w:tcPr>
          <w:p>
            <w:r>
              <w:t>B200mini CRO-only ATR timing evidence and 200 ns TX pre-roll decision</w:t>
            </w:r>
          </w:p>
        </w:tc>
        <w:tc>
          <w:tcPr>
            <w:tcW w:type="dxa" w:w="2520"/>
            <w:vAlign w:val="center"/>
            <w:tcMar>
              <w:top w:w="80" w:type="dxa"/>
              <w:start w:w="100" w:type="dxa"/>
              <w:bottom w:w="80" w:type="dxa"/>
              <w:end w:w="100" w:type="dxa"/>
            </w:tcMar>
          </w:tcPr>
          <w:p>
            <w:r>
              <w:t>GPIO/CRO only; TRM and PA disconnected</w:t>
            </w:r>
          </w:p>
        </w:tc>
        <w:tc>
          <w:tcPr>
            <w:tcW w:type="dxa" w:w="2520"/>
            <w:vAlign w:val="center"/>
            <w:tcMar>
              <w:top w:w="80" w:type="dxa"/>
              <w:start w:w="100" w:type="dxa"/>
              <w:bottom w:w="80" w:type="dxa"/>
              <w:end w:w="100" w:type="dxa"/>
            </w:tcMar>
          </w:tcPr>
          <w:p>
            <w:r>
              <w:t>Superseded</w:t>
            </w:r>
          </w:p>
        </w:tc>
      </w:tr>
      <w:tr>
        <w:trPr>
          <w:cantSplit/>
        </w:trPr>
        <w:tc>
          <w:tcPr>
            <w:tcW w:type="dxa" w:w="2520"/>
            <w:vAlign w:val="center"/>
            <w:tcMar>
              <w:top w:w="80" w:type="dxa"/>
              <w:start w:w="100" w:type="dxa"/>
              <w:bottom w:w="80" w:type="dxa"/>
              <w:end w:w="100" w:type="dxa"/>
            </w:tcMar>
          </w:tcPr>
          <w:p>
            <w:r>
              <w:t>0.8</w:t>
            </w:r>
          </w:p>
        </w:tc>
        <w:tc>
          <w:tcPr>
            <w:tcW w:type="dxa" w:w="2520"/>
            <w:vAlign w:val="center"/>
            <w:tcMar>
              <w:top w:w="80" w:type="dxa"/>
              <w:start w:w="100" w:type="dxa"/>
              <w:bottom w:w="80" w:type="dxa"/>
              <w:end w:w="100" w:type="dxa"/>
            </w:tcMar>
          </w:tcPr>
          <w:p>
            <w:r>
              <w:t>Operational Golay timing, guarded timed TX/RX/ATR profiles, X6-60 SocketCAN integration and North-up PPI</w:t>
            </w:r>
          </w:p>
        </w:tc>
        <w:tc>
          <w:tcPr>
            <w:tcW w:type="dxa" w:w="2520"/>
            <w:vAlign w:val="center"/>
            <w:tcMar>
              <w:top w:w="80" w:type="dxa"/>
              <w:start w:w="100" w:type="dxa"/>
              <w:bottom w:w="80" w:type="dxa"/>
              <w:end w:w="100" w:type="dxa"/>
            </w:tcMar>
          </w:tcPr>
          <w:p>
            <w:r>
              <w:t>Low-power/attenuated B200mini plus live X6-60; TRM/PA disconnected</w:t>
            </w:r>
          </w:p>
        </w:tc>
        <w:tc>
          <w:tcPr>
            <w:tcW w:type="dxa" w:w="2520"/>
            <w:vAlign w:val="center"/>
            <w:tcMar>
              <w:top w:w="80" w:type="dxa"/>
              <w:start w:w="100" w:type="dxa"/>
              <w:bottom w:w="80" w:type="dxa"/>
              <w:end w:w="100" w:type="dxa"/>
            </w:tcMar>
          </w:tcPr>
          <w:p>
            <w:r>
              <w:t>Current architecture baseline</w:t>
            </w:r>
          </w:p>
        </w:tc>
      </w:tr>
      <w:tr>
        <w:trPr>
          <w:cantSplit/>
        </w:trPr>
        <w:tc>
          <w:tcPr>
            <w:tcW w:type="dxa" w:w="2520"/>
            <w:vAlign w:val="center"/>
            <w:tcMar>
              <w:top w:w="80" w:type="dxa"/>
              <w:start w:w="100" w:type="dxa"/>
              <w:bottom w:w="80" w:type="dxa"/>
              <w:end w:w="100" w:type="dxa"/>
            </w:tcMar>
          </w:tcPr>
          <w:p>
            <w:pPr>
              <w:spacing w:before="0" w:after="0"/>
            </w:pPr>
            <w:r>
              <w:rPr>
                <w:sz w:val="17"/>
              </w:rPr>
              <w:t>1.0</w:t>
            </w:r>
          </w:p>
        </w:tc>
        <w:tc>
          <w:tcPr>
            <w:tcW w:type="dxa" w:w="2520"/>
            <w:vAlign w:val="center"/>
            <w:tcMar>
              <w:top w:w="80" w:type="dxa"/>
              <w:start w:w="100" w:type="dxa"/>
              <w:bottom w:w="80" w:type="dxa"/>
              <w:end w:w="100" w:type="dxa"/>
            </w:tcMar>
          </w:tcPr>
          <w:p>
            <w:pPr>
              <w:spacing w:before="0" w:after="0"/>
            </w:pPr>
            <w:r>
              <w:rPr>
                <w:sz w:val="17"/>
              </w:rPr>
              <w:t>Operational multifunction radar engineering baseline</w:t>
            </w:r>
          </w:p>
        </w:tc>
        <w:tc>
          <w:tcPr>
            <w:tcW w:type="dxa" w:w="2520"/>
            <w:vAlign w:val="center"/>
            <w:tcMar>
              <w:top w:w="80" w:type="dxa"/>
              <w:start w:w="100" w:type="dxa"/>
              <w:bottom w:w="80" w:type="dxa"/>
              <w:end w:w="100" w:type="dxa"/>
            </w:tcMar>
          </w:tcPr>
          <w:p>
            <w:pPr>
              <w:spacing w:before="0" w:after="0"/>
            </w:pPr>
            <w:r>
              <w:rPr>
                <w:sz w:val="17"/>
              </w:rPr>
              <w:t>Integrated platform</w:t>
            </w:r>
          </w:p>
        </w:tc>
        <w:tc>
          <w:tcPr>
            <w:tcW w:type="dxa" w:w="2520"/>
            <w:vAlign w:val="center"/>
            <w:tcMar>
              <w:top w:w="80" w:type="dxa"/>
              <w:start w:w="100" w:type="dxa"/>
              <w:bottom w:w="80" w:type="dxa"/>
              <w:end w:w="100" w:type="dxa"/>
            </w:tcMar>
          </w:tcPr>
          <w:p>
            <w:pPr>
              <w:spacing w:before="0" w:after="0"/>
            </w:pPr>
            <w:r>
              <w:rPr>
                <w:sz w:val="17"/>
              </w:rPr>
              <w:t>Planned</w:t>
            </w:r>
          </w:p>
        </w:tc>
      </w:tr>
    </w:tbl>
    <w:p>
      <w:pPr>
        <w:pStyle w:val="Heading2"/>
        <w:pageBreakBefore/>
      </w:pPr>
      <w:r>
        <w:t>19.1 Immediate next steps</w:t>
      </w:r>
    </w:p>
    <w:p>
      <w:pPr>
        <w:pStyle w:val="ListBullet"/>
      </w:pPr>
      <w:r>
        <w:t>Commit Version 0.8 with the operational Golay timing, X6-60 SocketCAN and North-up PPI architecture baseline.</w:t>
      </w:r>
    </w:p>
    <w:p>
      <w:pPr>
        <w:pStyle w:val="ListBullet"/>
      </w:pPr>
      <w:r>
        <w:t>Run the full scheduler with both live X6-60 motion and the proven guarded timed loopback target, then verify target bearing against encoder bearing on the North-up PPI.</w:t>
      </w:r>
    </w:p>
    <w:p>
      <w:pPr>
        <w:pStyle w:val="ListBullet"/>
      </w:pPr>
      <w:r>
        <w:t>Retain receive-only no-profile startup and require explicit guarded confirmations for every timed-TX/ATR run.</w:t>
      </w:r>
    </w:p>
    <w:p>
      <w:pPr>
        <w:pStyle w:val="ListBullet"/>
      </w:pPr>
      <w:r>
        <w:t>Measure TRM switching, receiver recovery, PA sequencing and the safe non-overlap guard before the 50 W path is connected.</w:t>
      </w:r>
    </w:p>
    <w:p>
      <w:pPr>
        <w:pStyle w:val="ListBullet"/>
      </w:pPr>
      <w:r>
        <w:t>Calibrate operational range independently of receive-start offset and the 166-sample diagnostic cable path.</w:t>
      </w:r>
    </w:p>
    <w:p>
      <w:pPr>
        <w:pStyle w:val="ListBullet"/>
      </w:pPr>
      <w:r>
        <w:t>Profile sustained 4 kHz/64-pulse Golay acquisition and processing with live pointing; accept 50 ms cadence only after worst-case margin is demonstrated.</w:t>
      </w:r>
    </w:p>
    <w:p>
      <w:pPr>
        <w:pStyle w:val="ListBullet"/>
      </w:pPr>
      <w:r>
        <w:t>Configure automatic host startup for can0 at 1 Mbit/s and add a clean top-level failure message for missing or DOWN SocketCAN.</w:t>
      </w:r>
    </w:p>
    <w:p>
      <w:pPr>
        <w:pStyle w:val="ListBullet"/>
      </w:pPr>
      <w:r>
        <w:t>Complete sea-trial recording with Golay diagnostics, calibrated range, measured bearing and navigation provenance.</w:t>
      </w:r>
    </w:p>
    <w:p>
      <w:pPr>
        <w:pStyle w:val="ListBullet"/>
      </w:pPr>
      <w:r>
        <w:t>Define MissionController, a versioned MissionProfile data contract and the submit/update/cancel RadarTask interface.</w:t>
      </w:r>
    </w:p>
    <w:p>
      <w:pPr>
        <w:pStyle w:val="ListBullet"/>
      </w:pPr>
      <w:r>
        <w:t>Load the first rapid-surveillance profile and submit persistent search without changing the proven dwell boundary.</w:t>
      </w:r>
    </w:p>
    <w:p>
      <w:pPr>
        <w:pStyle w:val="ListBullet"/>
      </w:pPr>
      <w:r>
        <w:t>Route tracker events through MissionController while retaining controlled migration support.</w:t>
      </w:r>
    </w:p>
    <w:p>
      <w:pPr>
        <w:pStyle w:val="ListBullet"/>
      </w:pPr>
      <w:r>
        <w:t>Add simulation regressions for surveillance-to-sector promotion, deadline revisits, local reacquisition and exact search resumption.</w:t>
      </w:r>
    </w:p>
    <w:p>
      <w:pPr>
        <w:pStyle w:val="ListBullet"/>
      </w:pPr>
      <w:r>
        <w:t>Instrument surveillance duty cycle, sector coverage debt, revisit lateness and reacquisition outcomes before a richer cost model.</w:t>
      </w:r>
    </w:p>
    <w:p>
      <w:pPr>
        <w:pStyle w:val="Heading1"/>
      </w:pPr>
      <w:r>
        <w:t>Appendix A. Architecture Decision Records</w:t>
      </w:r>
    </w:p>
    <w:p>
      <w:pPr>
        <w:pStyle w:val="Heading2"/>
      </w:pPr>
      <w:r>
        <w:t>ADR-0001: PulsePlan/DwellPlan architecture</w:t>
      </w:r>
    </w:p>
    <w:p>
      <w:r>
        <w:rPr>
          <w:b/>
        </w:rPr>
        <w:t>Status:</w:t>
      </w:r>
      <w:r>
        <w:t xml:space="preserve"> Accepted</w:t>
      </w:r>
    </w:p>
    <w:p>
      <w:r>
        <w:t>Decision and rationale: Represent pulse-by-pulse waveform, timing and processing intent without changing source or processor APIs.</w:t>
      </w:r>
    </w:p>
    <w:p>
      <w:pPr>
        <w:pStyle w:val="Heading2"/>
      </w:pPr>
      <w:r>
        <w:t>ADR-0002: Separate scheduling and pointing</w:t>
      </w:r>
    </w:p>
    <w:p>
      <w:r>
        <w:rPr>
          <w:b/>
        </w:rPr>
        <w:t>Status:</w:t>
      </w:r>
      <w:r>
        <w:t xml:space="preserve"> Accepted</w:t>
      </w:r>
    </w:p>
    <w:p>
      <w:r>
        <w:t>Decision and rationale: Scheduler chooses tasks; PointingManager owns coordinate transformation and antenna control.</w:t>
      </w:r>
    </w:p>
    <w:p>
      <w:pPr>
        <w:pStyle w:val="Heading2"/>
      </w:pPr>
      <w:r>
        <w:t>ADR-0003: Explicit TRUE and PLATFORM frames</w:t>
      </w:r>
    </w:p>
    <w:p>
      <w:r>
        <w:rPr>
          <w:b/>
        </w:rPr>
        <w:t>Status:</w:t>
      </w:r>
      <w:r>
        <w:t xml:space="preserve"> Accepted</w:t>
      </w:r>
    </w:p>
    <w:p>
      <w:r>
        <w:t>Decision and rationale: Moving-platform search and track pointing require unambiguous coordinate ownership.</w:t>
      </w:r>
    </w:p>
    <w:p>
      <w:pPr>
        <w:pStyle w:val="Heading2"/>
      </w:pPr>
      <w:r>
        <w:t>ADR-0004: Simulation-first validation</w:t>
      </w:r>
    </w:p>
    <w:p>
      <w:r>
        <w:rPr>
          <w:b/>
        </w:rPr>
        <w:t>Status:</w:t>
      </w:r>
      <w:r>
        <w:t xml:space="preserve"> Accepted</w:t>
      </w:r>
    </w:p>
    <w:p>
      <w:r>
        <w:t>Decision and rationale: Reduce risk and prevent hardware timing concerns from distorting software boundaries.</w:t>
      </w:r>
    </w:p>
    <w:p>
      <w:pPr>
        <w:pStyle w:val="Heading2"/>
      </w:pPr>
      <w:r>
        <w:t>ADR-0005: STM32 slow control; Ettus fast T/R</w:t>
      </w:r>
    </w:p>
    <w:p>
      <w:r>
        <w:rPr>
          <w:b/>
        </w:rPr>
        <w:t>Status:</w:t>
      </w:r>
      <w:r>
        <w:t xml:space="preserve"> Accepted</w:t>
      </w:r>
    </w:p>
    <w:p>
      <w:r>
        <w:t>Decision and rationale: Keep pulse timing deterministic while retaining the STM32 as a stable configuration engine.</w:t>
      </w:r>
    </w:p>
    <w:p>
      <w:pPr>
        <w:pStyle w:val="Heading2"/>
      </w:pPr>
      <w:r>
        <w:t>ADR-0006: RadarExecutor owns execution semantics</w:t>
      </w:r>
    </w:p>
    <w:p>
      <w:r>
        <w:rPr>
          <w:b/>
        </w:rPr>
        <w:t>Status:</w:t>
      </w:r>
      <w:r>
        <w:t xml:space="preserve"> Accepted</w:t>
      </w:r>
    </w:p>
    <w:p>
      <w:r>
        <w:t>Decision and rationale: Localise task-to-dwell translation, profile selection, source execution and metadata.</w:t>
      </w:r>
    </w:p>
    <w:p>
      <w:pPr>
        <w:pStyle w:val="Heading2"/>
      </w:pPr>
      <w:r>
        <w:t>ADR-0007: Single motor command owner</w:t>
      </w:r>
    </w:p>
    <w:p>
      <w:r>
        <w:rPr>
          <w:b/>
        </w:rPr>
        <w:t>Status:</w:t>
      </w:r>
      <w:r>
        <w:t xml:space="preserve"> Accepted</w:t>
      </w:r>
    </w:p>
    <w:p>
      <w:r>
        <w:t>Decision and rationale: Prevent conflicting commands, endpoint oscillation and split scan state.</w:t>
      </w:r>
    </w:p>
    <w:p>
      <w:pPr>
        <w:pStyle w:val="Heading2"/>
      </w:pPr>
      <w:r>
        <w:t>ADR-0008: SDR hardware time owns radar timing</w:t>
      </w:r>
    </w:p>
    <w:p>
      <w:r>
        <w:rPr>
          <w:b/>
        </w:rPr>
        <w:t>Status:</w:t>
      </w:r>
      <w:r>
        <w:t xml:space="preserve"> Accepted</w:t>
      </w:r>
    </w:p>
    <w:p>
      <w:r>
        <w:t>Decision and rationale: Host scheduling is nondeterministic at PRI scale; FPGA hardware time provides deterministic execution.</w:t>
      </w:r>
    </w:p>
    <w:p>
      <w:pPr>
        <w:pStyle w:val="Heading2"/>
      </w:pPr>
      <w:r>
        <w:t>ADR-0009: One lead time per dwell</w:t>
      </w:r>
    </w:p>
    <w:p>
      <w:r>
        <w:rPr>
          <w:b/>
        </w:rPr>
        <w:t>Status:</w:t>
      </w:r>
      <w:r>
        <w:t xml:space="preserve"> Accepted</w:t>
      </w:r>
    </w:p>
    <w:p>
      <w:r>
        <w:t>Decision and rationale: Lead time exists only to allow commands to reach the SDR before Tpri1 and shall not stretch the pulse train.</w:t>
      </w:r>
    </w:p>
    <w:p>
      <w:pPr>
        <w:pStyle w:val="Heading2"/>
      </w:pPr>
      <w:r>
        <w:t>ADR-0010: Fixed 40 MS/s SDR sample rate</w:t>
      </w:r>
    </w:p>
    <w:p>
      <w:pPr/>
      <w:r>
        <w:t>Status: Accepted</w:t>
      </w:r>
    </w:p>
    <w:p>
      <w:pPr/>
      <w:r>
        <w:t>Decision and rationale: Use a fixed 40 MS/s complex sample rate for the initial hardware path. Represent waveform bandwidth through chip rate and integer samples per chip so SDR configuration remains stable. The initial catalogue uses the explicit identifiers Barker13_10MHz, Barker13_20MHz, Frank10_10MHz and Frank10_20MHz; rate-free identifiers are not permitted in new plans.</w:t>
      </w:r>
    </w:p>
    <w:p>
      <w:pPr>
        <w:pStyle w:val="Heading2"/>
      </w:pPr>
      <w:r>
        <w:t>ADR-0011: Authoritative sampled waveform</w:t>
      </w:r>
    </w:p>
    <w:p>
      <w:pPr/>
      <w:r>
        <w:t>Status: Accepted</w:t>
      </w:r>
    </w:p>
    <w:p>
      <w:pPr/>
      <w:r>
        <w:t>Decision and rationale: Expand the phase-code chips once in WaveformLibrary and use the same sampled complex waveform for timed transmission, simulation and matched filtering. Preserve chip count separately for code identity and ideal processing-gain calculation.</w:t>
      </w:r>
    </w:p>
    <w:p>
      <w:pPr>
        <w:pStyle w:val="Heading2"/>
      </w:pPr>
      <w:r>
        <w:t>ADR-0012: Operator-selectable PRF and CPI pulse count</w:t>
      </w:r>
    </w:p>
    <w:p>
      <w:pPr/>
      <w:r>
        <w:t>Status: Accepted</w:t>
      </w:r>
    </w:p>
    <w:p>
      <w:pPr/>
      <w:r>
        <w:t>Decision and rationale: Expose physical PRF from 1.0 to 4.0 kHz and pulses per CPI through the front UI. Derive PRI and CPI duration so contradictory timing inputs cannot be entered independently and validate below the UI boundary. Defaults are execution-profile-specific: the current operational Golay profile uses 4.0 kHz and 64 physical A/B pulses, while earlier Frank profiles used 2.0 kHz and 32 pulses.</w:t>
      </w:r>
    </w:p>
    <w:p>
      <w:pPr>
        <w:pStyle w:val="Heading2"/>
      </w:pPr>
      <w:r>
        <w:t>ADR-0013: Range-derived receive timing</w:t>
      </w:r>
    </w:p>
    <w:p>
      <w:pPr/>
      <w:r>
        <w:t>Status: Accepted</w:t>
      </w:r>
    </w:p>
    <w:p>
      <w:pPr/>
      <w:r>
        <w:t>Decision and rationale: Derive receive start, receive end, sample count, buffer size, range-axis offset and maximum safe PRF from sampled waveform duration, receiver recovery, maximum instrumented range and configured timing margins. Recovery and guard values remain provisional until measured.</w:t>
      </w:r>
    </w:p>
    <w:p>
      <w:pPr>
        <w:pStyle w:val="Heading2"/>
      </w:pPr>
      <w:r>
        <w:t>ADR-0014: Bounded finite per-PRI command pipeline</w:t>
      </w:r>
    </w:p>
    <w:p>
      <w:pPr/>
      <w:r>
        <w:t>Status: Accepted</w:t>
      </w:r>
    </w:p>
    <w:p>
      <w:pPr/>
      <w:r>
        <w:t>Decision and rationale: Use finite pulse-specific timed TX bursts and RX windows within a bounded future horizon. Replenish immediately after collecting the oldest RX window. This avoids unbounded command queues, continuous-RX semantics and host-latency collapse while preserving pulse-level ATR intent.</w:t>
      </w:r>
    </w:p>
    <w:p>
      <w:pPr>
        <w:pStyle w:val="Heading2"/>
      </w:pPr>
      <w:r>
        <w:t>ADR-0015: Post-CPI signal processing</w:t>
      </w:r>
    </w:p>
    <w:p>
      <w:pPr/>
      <w:r>
        <w:t>Status: Accepted</w:t>
      </w:r>
    </w:p>
    <w:p>
      <w:pPr/>
      <w:r>
        <w:t>Decision and rationale: The timing-critical acquisition loop performs only queue replenishment, streamer I/O and minimal validity accounting. Matched filtering, Doppler processing, plotting and diagnostic formatting occur after the complete CPI is captured.</w:t>
      </w:r>
    </w:p>
    <w:p>
      <w:pPr>
        <w:pStyle w:val="Heading2"/>
      </w:pPr>
      <w:r>
        <w:t>ADR-0016: MissionController creates tasks; RadarScheduler owns the queue</w:t>
      </w:r>
    </w:p>
    <w:p>
      <w:r>
        <w:t>Status: Accepted</w:t>
      </w:r>
    </w:p>
    <w:p>
      <w:r>
        <w:t>Decision and rationale: MissionController consumes MissionProfile, operator direction and tracker events and issues submit, update and cancel commands containing concrete RadarTask objects. RadarScheduler owns task lifecycle, eligibility, priority/deadline arbitration and pause/resume state. This prevents mission logic from bypassing scheduler, pointing, execution or hardware boundaries.</w:t>
      </w:r>
    </w:p>
    <w:p>
      <w:pPr>
        <w:pStyle w:val="Heading2"/>
      </w:pPr>
      <w:r>
        <w:t>ADR-0017: RadarExecutor is the dwell-management boundary</w:t>
      </w:r>
    </w:p>
    <w:p>
      <w:r>
        <w:t>Status: Accepted</w:t>
      </w:r>
    </w:p>
    <w:p>
      <w:r>
        <w:t>Decision and rationale: Keep task selection in RadarScheduler and consolidate execution-profile selection, pointing readiness, DwellPlan construction, source invocation and provenance in RadarExecutor. Do not introduce a second owner unless measured complexity requires one.</w:t>
      </w:r>
    </w:p>
    <w:p>
      <w:pPr>
        <w:pStyle w:val="Heading2"/>
      </w:pPr>
      <w:r>
        <w:t>ADR-0018: Preserve surveillance continuity</w:t>
      </w:r>
    </w:p>
    <w:p>
      <w:r>
        <w:t>Status: Accepted</w:t>
      </w:r>
    </w:p>
    <w:p>
      <w:r>
        <w:t>Decision and rationale: Track revisits and local reacquisition may pre-empt search, but interrupted coverage state shall be resumed and MissionProfile shall bound time away from surveillance so track demand cannot consume the radar indefinitely.</w:t>
      </w:r>
    </w:p>
    <w:p>
      <w:pPr>
        <w:pStyle w:val="Heading2"/>
      </w:pPr>
      <w:r>
        <w:t>ADR-0019: Eight-sample TX transport pre-roll</w:t>
      </w:r>
    </w:p>
    <w:p>
      <w:r>
        <w:t>Status: Accepted</w:t>
      </w:r>
    </w:p>
    <w:p>
      <w:r>
        <w:t>Decision and rationale: CRO measurement found approximately 100 ns GPIO edge rise time. Prepend eight zero-valued complex samples at 40 MS/s (200 ns) before the unchanged 200-sample Frank10_20MHz waveform. The padding belongs to the timed-transmit transport envelope, not WaveformLibrary or the matched-filter reference. Move RX start by the same 200 ns to preserve the measured 1 us both-low guard, and use the first non-zero sample as the RF/range origin to avoid a 30 m bias.</w:t>
      </w:r>
    </w:p>
    <w:p>
      <w:pPr>
        <w:pStyle w:val="Heading2"/>
      </w:pPr>
      <w:r>
        <w:t>ADR-0020: Operational Golay A/B timing</w:t>
      </w:r>
    </w:p>
    <w:p>
      <w:pPr>
        <w:spacing w:after="60"/>
      </w:pPr>
      <w:r>
        <w:rPr>
          <w:b/>
        </w:rPr>
        <w:t>Status: Accepted</w:t>
      </w:r>
    </w:p>
    <w:p>
      <w:pPr>
        <w:spacing w:after="120"/>
      </w:pPr>
      <w:r>
        <w:t>Decision and rationale: Use Golay64_20MHz as strict alternating A then B physical pulses at 4 kHz and 64 physical pulses per 16 ms CPI. Apply separate matched filters, combine 32 complementary pairs, then perform Doppler processing at 500 us pair spacing. Preserve physical pulse metadata and reject incomplete or reordered pairs.</w:t>
      </w:r>
    </w:p>
    <w:p>
      <w:pPr>
        <w:pStyle w:val="Heading2"/>
      </w:pPr>
      <w:r>
        <w:t>ADR-0021: X6-60 absolute encoder and SocketCAN</w:t>
      </w:r>
    </w:p>
    <w:p>
      <w:pPr>
        <w:spacing w:after="60"/>
      </w:pPr>
      <w:r>
        <w:rPr>
          <w:b/>
        </w:rPr>
        <w:t>Status: Accepted</w:t>
      </w:r>
    </w:p>
    <w:p>
      <w:pPr>
        <w:spacing w:after="120"/>
      </w:pPr>
      <w:r>
        <w:t>Decision and rationale: Use the QAN X6-60 absolute multi-turn encoder over can0 at 1 Mbit/s as the operational azimuth source. Calibrate NorthRawAngleDeg=-361.53 and DirectionSign=+1 so public azimuth is North=0 degrees and clockwise-positive while retaining raw angle provenance.</w:t>
      </w:r>
    </w:p>
    <w:p>
      <w:pPr>
        <w:pStyle w:val="Heading2"/>
      </w:pPr>
      <w:r>
        <w:t>ADR-0022: Unlimited azimuth and current-position startup</w:t>
      </w:r>
    </w:p>
    <w:p>
      <w:pPr>
        <w:spacing w:after="60"/>
      </w:pPr>
      <w:r>
        <w:rPr>
          <w:b/>
        </w:rPr>
        <w:t>Status: Accepted</w:t>
      </w:r>
    </w:p>
    <w:p>
      <w:pPr>
        <w:spacing w:after="120"/>
      </w:pPr>
      <w:r>
        <w:t>Decision and rationale: Treat the installed X6-60 azimuth axis as unlimited rather than applying legacy software end stops. At startup read and validate the current encoder position, update the PPI and remain stopped without forcing a move to an arbitrary bearing.</w:t>
      </w:r>
    </w:p>
    <w:p>
      <w:pPr>
        <w:pStyle w:val="Heading2"/>
      </w:pPr>
      <w:r>
        <w:t>ADR-0023: Guarded operational motion</w:t>
      </w:r>
    </w:p>
    <w:p>
      <w:pPr>
        <w:spacing w:after="60"/>
      </w:pPr>
      <w:r>
        <w:rPr>
          <w:b/>
        </w:rPr>
        <w:t>Status: Accepted</w:t>
      </w:r>
    </w:p>
    <w:p>
      <w:pPr>
        <w:spacing w:after="120"/>
      </w:pPr>
      <w:r>
        <w:t>Decision and rationale: Keep motion disabled unless the x660-operational profile and both installation acknowledgements are present. Limit the live transport to stop, speed, absolute-position and incremental-position commands, and retain PointingManager as the sole operational command owner.</w:t>
      </w:r>
    </w:p>
    <w:p>
      <w:pPr>
        <w:pStyle w:val="Heading2"/>
      </w:pPr>
      <w:r>
        <w:t>ADR-0024: North-up clockwise-positive PPI</w:t>
      </w:r>
    </w:p>
    <w:p>
      <w:pPr>
        <w:spacing w:after="60"/>
      </w:pPr>
      <w:r>
        <w:rPr>
          <w:b/>
        </w:rPr>
        <w:t>Status: Accepted</w:t>
      </w:r>
    </w:p>
    <w:p>
      <w:pPr>
        <w:spacing w:after="120"/>
      </w:pPr>
      <w:r>
        <w:t>Decision and rationale: Use x=range*sin(bearing) and y=range*cos(bearing) so 0/North is top and bearings increase clockwise. Apply the same conversion to the beam, sectors, detections, plots, tracks, labels and mouse selection.</w:t>
      </w:r>
    </w:p>
    <w:p>
      <w:pPr>
        <w:pStyle w:val="Heading1"/>
      </w:pPr>
      <w:r>
        <w:t>Appendix B. Acronyms and Glossary</w:t>
      </w:r>
    </w:p>
    <w:tbl>
      <w:tblPr>
        <w:tblStyle w:val="TableGrid"/>
        <w:tblW w:type="auto" w:w="0"/>
        <w:jc w:val="center"/>
        <w:tblLook w:firstColumn="1" w:firstRow="1" w:lastColumn="0" w:lastRow="0" w:noHBand="0" w:noVBand="1" w:val="04A0"/>
      </w:tblPr>
      <w:tblGrid>
        <w:gridCol w:w="5040"/>
        <w:gridCol w:w="5040"/>
      </w:tblGrid>
      <w:tr>
        <w:trPr>
          <w:tblHeader/>
          <w:cantSplit/>
        </w:trPr>
        <w:tc>
          <w:tcPr>
            <w:tcW w:type="dxa" w:w="5040"/>
            <w:shd w:fill="1F4E79"/>
          </w:tcPr>
          <w:p>
            <w:r>
              <w:rPr>
                <w:b/>
                <w:color w:val="FFFFFF"/>
              </w:rPr>
              <w:t>Term</w:t>
            </w:r>
          </w:p>
        </w:tc>
        <w:tc>
          <w:tcPr>
            <w:tcW w:type="dxa" w:w="5040"/>
            <w:shd w:fill="1F4E79"/>
          </w:tcPr>
          <w:p>
            <w:r>
              <w:rPr>
                <w:b/>
                <w:color w:val="FFFFFF"/>
              </w:rPr>
              <w:t>Definition</w:t>
            </w:r>
          </w:p>
        </w:tc>
      </w:tr>
      <w:tr>
        <w:trPr>
          <w:cantSplit/>
        </w:trPr>
        <w:tc>
          <w:tcPr>
            <w:tcW w:type="dxa" w:w="5040"/>
          </w:tcPr>
          <w:p>
            <w:r>
              <w:t>ATR</w:t>
            </w:r>
          </w:p>
        </w:tc>
        <w:tc>
          <w:tcPr>
            <w:tcW w:type="dxa" w:w="5040"/>
          </w:tcPr>
          <w:p>
            <w:r>
              <w:t>Automatic transmit/receive control provided by SDR GPIO.</w:t>
            </w:r>
          </w:p>
        </w:tc>
      </w:tr>
      <w:tr>
        <w:trPr>
          <w:cantSplit/>
        </w:trPr>
        <w:tc>
          <w:tcPr>
            <w:tcW w:type="dxa" w:w="5040"/>
          </w:tcPr>
          <w:p>
            <w:r>
              <w:t>CPI</w:t>
            </w:r>
          </w:p>
        </w:tc>
        <w:tc>
          <w:tcPr>
            <w:tcW w:type="dxa" w:w="5040"/>
          </w:tcPr>
          <w:p>
            <w:r>
              <w:t>Coherent Processing Interval.</w:t>
            </w:r>
          </w:p>
        </w:tc>
      </w:tr>
      <w:tr>
        <w:trPr>
          <w:cantSplit/>
        </w:trPr>
        <w:tc>
          <w:tcPr>
            <w:tcW w:type="dxa" w:w="5040"/>
          </w:tcPr>
          <w:p>
            <w:r>
              <w:t>Dwell</w:t>
            </w:r>
          </w:p>
        </w:tc>
        <w:tc>
          <w:tcPr>
            <w:tcW w:type="dxa" w:w="5040"/>
          </w:tcPr>
          <w:p>
            <w:r>
              <w:t>One radar action containing one or more pulses and associated processing.</w:t>
            </w:r>
          </w:p>
        </w:tc>
      </w:tr>
      <w:tr>
        <w:trPr>
          <w:cantSplit/>
        </w:trPr>
        <w:tc>
          <w:tcPr>
            <w:tcW w:type="dxa" w:w="5040"/>
          </w:tcPr>
          <w:p>
            <w:r>
              <w:t>PRI</w:t>
            </w:r>
          </w:p>
        </w:tc>
        <w:tc>
          <w:tcPr>
            <w:tcW w:type="dxa" w:w="5040"/>
          </w:tcPr>
          <w:p>
            <w:r>
              <w:t>Pulse Repetition Interval.</w:t>
            </w:r>
          </w:p>
        </w:tc>
      </w:tr>
      <w:tr>
        <w:trPr>
          <w:cantSplit/>
        </w:trPr>
        <w:tc>
          <w:tcPr>
            <w:tcW w:type="dxa" w:w="5040"/>
          </w:tcPr>
          <w:p>
            <w:r>
              <w:t>Tpri1</w:t>
            </w:r>
          </w:p>
        </w:tc>
        <w:tc>
          <w:tcPr>
            <w:tcW w:type="dxa" w:w="5040"/>
          </w:tcPr>
          <w:p>
            <w:r>
              <w:t>Hardware timestamp of the first PRI in a dwell.</w:t>
            </w:r>
          </w:p>
        </w:tc>
      </w:tr>
      <w:tr>
        <w:trPr>
          <w:cantSplit/>
        </w:trPr>
        <w:tc>
          <w:tcPr>
            <w:tcW w:type="dxa" w:w="5040"/>
          </w:tcPr>
          <w:p>
            <w:r>
              <w:t>LeadTime</w:t>
            </w:r>
          </w:p>
        </w:tc>
        <w:tc>
          <w:tcPr>
            <w:tcW w:type="dxa" w:w="5040"/>
          </w:tcPr>
          <w:p>
            <w:r>
              <w:t>Host-to-SDR scheduling margin added once to establish Tpri1.</w:t>
            </w:r>
          </w:p>
        </w:tc>
      </w:tr>
      <w:tr>
        <w:trPr>
          <w:cantSplit/>
        </w:trPr>
        <w:tc>
          <w:tcPr>
            <w:tcW w:type="dxa" w:w="5040"/>
          </w:tcPr>
          <w:p>
            <w:r>
              <w:t>RawDwellData</w:t>
            </w:r>
          </w:p>
        </w:tc>
        <w:tc>
          <w:tcPr>
            <w:tcW w:type="dxa" w:w="5040"/>
          </w:tcPr>
          <w:p>
            <w:r>
              <w:t>Pulse-by-sample complex IQ and source validity metadata.</w:t>
            </w:r>
          </w:p>
        </w:tc>
      </w:tr>
      <w:tr>
        <w:trPr>
          <w:cantSplit/>
        </w:trPr>
        <w:tc>
          <w:tcPr>
            <w:tcW w:type="dxa" w:w="5040"/>
          </w:tcPr>
          <w:p>
            <w:r>
              <w:t>PointingState</w:t>
            </w:r>
          </w:p>
        </w:tc>
        <w:tc>
          <w:tcPr>
            <w:tcW w:type="dxa" w:w="5040"/>
          </w:tcPr>
          <w:p>
            <w:r>
              <w:t>Measured and commanded pointing solution produced by PointingManager.</w:t>
            </w:r>
          </w:p>
        </w:tc>
      </w:tr>
      <w:tr>
        <w:trPr>
          <w:cantSplit/>
        </w:trPr>
        <w:tc>
          <w:tcPr>
            <w:tcW w:type="dxa" w:w="5040"/>
          </w:tcPr>
          <w:p>
            <w:r>
              <w:t>TRUE frame</w:t>
            </w:r>
          </w:p>
        </w:tc>
        <w:tc>
          <w:tcPr>
            <w:tcW w:type="dxa" w:w="5040"/>
          </w:tcPr>
          <w:p>
            <w:r>
              <w:t>Bearing referenced to true North.</w:t>
            </w:r>
          </w:p>
        </w:tc>
      </w:tr>
      <w:tr>
        <w:trPr>
          <w:cantSplit/>
        </w:trPr>
        <w:tc>
          <w:tcPr>
            <w:tcW w:type="dxa" w:w="5040"/>
          </w:tcPr>
          <w:p>
            <w:r>
              <w:t>PLATFORM frame</w:t>
            </w:r>
          </w:p>
        </w:tc>
        <w:tc>
          <w:tcPr>
            <w:tcW w:type="dxa" w:w="5040"/>
          </w:tcPr>
          <w:p>
            <w:r>
              <w:t>Angle referenced to the platform body or bow.</w:t>
            </w:r>
          </w:p>
        </w:tc>
      </w:tr>
      <w:tr>
        <w:trPr>
          <w:cantSplit/>
        </w:trPr>
        <w:tc>
          <w:tcPr>
            <w:tcW w:type="dxa" w:w="5040"/>
          </w:tcPr>
          <w:p>
            <w:r>
              <w:t>TRM</w:t>
            </w:r>
          </w:p>
        </w:tc>
        <w:tc>
          <w:tcPr>
            <w:tcW w:type="dxa" w:w="5040"/>
          </w:tcPr>
          <w:p>
            <w:r>
              <w:t>Transmit/Receive Module.</w:t>
            </w:r>
          </w:p>
        </w:tc>
      </w:tr>
      <w:tr>
        <w:trPr>
          <w:cantSplit/>
        </w:trPr>
        <w:tc>
          <w:tcPr>
            <w:tcW w:type="dxa" w:w="5040"/>
          </w:tcPr>
          <w:p>
            <w:r>
              <w:t>X6-60</w:t>
            </w:r>
          </w:p>
        </w:tc>
        <w:tc>
          <w:tcPr>
            <w:tcW w:type="dxa" w:w="5040"/>
          </w:tcPr>
          <w:p>
            <w:r>
              <w:t>QAN unlimited-azimuth motor/positioning unit with absolute multi-turn encoder feedback over SocketCAN.</w:t>
            </w:r>
          </w:p>
        </w:tc>
      </w:tr>
      <w:tr>
        <w:trPr>
          <w:cantSplit/>
        </w:trPr>
        <w:tc>
          <w:tcPr>
            <w:tcW w:type="dxa" w:w="5040"/>
          </w:tcPr>
          <w:p>
            <w:r>
              <w:t>UHD</w:t>
            </w:r>
          </w:p>
        </w:tc>
        <w:tc>
          <w:tcPr>
            <w:tcW w:type="dxa" w:w="5040"/>
          </w:tcPr>
          <w:p>
            <w:r>
              <w:t>USRP Hardware Driver.</w:t>
            </w:r>
          </w:p>
        </w:tc>
      </w:tr>
      <w:tr>
        <w:trPr>
          <w:cantSplit/>
        </w:trPr>
        <w:tc>
          <w:tcPr>
            <w:tcW w:type="dxa" w:w="5040"/>
          </w:tcPr>
          <w:p>
            <w:r>
              <w:t>USRP</w:t>
            </w:r>
          </w:p>
        </w:tc>
        <w:tc>
          <w:tcPr>
            <w:tcW w:type="dxa" w:w="5040"/>
          </w:tcPr>
          <w:p>
            <w:r>
              <w:t>Universal Software Radio Peripheral.</w:t>
            </w:r>
          </w:p>
        </w:tc>
      </w:tr>
      <w:tr>
        <w:trPr>
          <w:cantSplit/>
        </w:trPr>
        <w:tc>
          <w:tcPr>
            <w:tcW w:type="dxa" w:w="5040"/>
            <w:tcW w:type="dxa" w:w="5040"/>
            <w:vAlign w:val="center"/>
          </w:tcPr>
          <w:p>
            <w:pPr/>
            <w:r>
              <w:rPr/>
              <w:t>PRF</w:t>
            </w:r>
          </w:p>
        </w:tc>
        <w:tc>
          <w:tcPr>
            <w:tcW w:type="dxa" w:w="5040"/>
            <w:tcW w:type="dxa" w:w="5040"/>
            <w:vAlign w:val="center"/>
          </w:tcPr>
          <w:p>
            <w:pPr/>
            <w:r>
              <w:rPr/>
              <w:t>Pulse Repetition Frequency; the reciprocal of PRI.</w:t>
            </w:r>
          </w:p>
        </w:tc>
      </w:tr>
      <w:tr>
        <w:trPr>
          <w:cantSplit/>
        </w:trPr>
        <w:tc>
          <w:tcPr>
            <w:tcW w:type="dxa" w:w="5040"/>
            <w:vAlign w:val="center"/>
          </w:tcPr>
          <w:p>
            <w:pPr>
              <w:spacing w:before="0" w:after="0" w:line="240" w:lineRule="auto"/>
              <w:jc w:val="left"/>
            </w:pPr>
            <w:r>
              <w:rPr>
                <w:b w:val="0"/>
                <w:sz w:val="18"/>
              </w:rPr>
              <w:t>WaveformId</w:t>
            </w:r>
          </w:p>
        </w:tc>
        <w:tc>
          <w:tcPr>
            <w:tcW w:type="dxa" w:w="5040"/>
            <w:vAlign w:val="center"/>
          </w:tcPr>
          <w:p>
            <w:pPr>
              <w:spacing w:before="0" w:after="0" w:line="240" w:lineRule="auto"/>
              <w:jc w:val="left"/>
            </w:pPr>
            <w:r>
              <w:rPr>
                <w:b w:val="0"/>
                <w:sz w:val="18"/>
              </w:rPr>
              <w:t>Stable waveform identifier containing code family/order and nominal chip rate, for example Frank10_20MHz.</w:t>
            </w:r>
          </w:p>
        </w:tc>
      </w:tr>
      <w:tr>
        <w:trPr>
          <w:cantSplit/>
        </w:trPr>
        <w:tc>
          <w:tcPr>
            <w:tcW w:type="dxa" w:w="5040"/>
          </w:tcPr>
          <w:p>
            <w:r>
              <w:t>MissionController</w:t>
            </w:r>
          </w:p>
        </w:tc>
        <w:tc>
          <w:tcPr>
            <w:tcW w:type="dxa" w:w="5040"/>
          </w:tcPr>
          <w:p>
            <w:r>
              <w:t>Mission-decision owner that converts profiles, operator direction and tracker events into task submit, update and cancel commands for RadarScheduler.</w:t>
            </w:r>
          </w:p>
        </w:tc>
      </w:tr>
      <w:tr>
        <w:trPr>
          <w:cantSplit/>
        </w:trPr>
        <w:tc>
          <w:tcPr>
            <w:tcW w:type="dxa" w:w="5040"/>
          </w:tcPr>
          <w:p>
            <w:r>
              <w:t>MissionProfile</w:t>
            </w:r>
          </w:p>
        </w:tc>
        <w:tc>
          <w:tcPr>
            <w:tcW w:type="dxa" w:w="5040"/>
          </w:tcPr>
          <w:p>
            <w:r>
              <w:t>Versioned policy defining surveillance, sector, revisit and reacquisition task generation and resource limits.</w:t>
            </w:r>
          </w:p>
        </w:tc>
      </w:tr>
      <w:tr>
        <w:trPr>
          <w:cantSplit/>
        </w:trPr>
        <w:tc>
          <w:tcPr>
            <w:tcW w:type="dxa" w:w="5040"/>
          </w:tcPr>
          <w:p>
            <w:r>
              <w:t>Dwell management</w:t>
            </w:r>
          </w:p>
        </w:tc>
        <w:tc>
          <w:tcPr>
            <w:tcW w:type="dxa" w:w="5040"/>
          </w:tcPr>
          <w:p>
            <w:r>
              <w:t>RadarExecutor responsibility that converts a selected task and measured pointing state into one executable DwellPlan and returns its result.</w:t>
            </w:r>
          </w:p>
        </w:tc>
      </w:tr>
      <w:tr>
        <w:trPr>
          <w:cantSplit/>
        </w:trPr>
        <w:tc>
          <w:tcPr>
            <w:tcW w:type="dxa" w:w="5040"/>
          </w:tcPr>
          <w:p>
            <w:r>
              <w:t>Coverage debt</w:t>
            </w:r>
          </w:p>
        </w:tc>
        <w:tc>
          <w:tcPr>
            <w:tcW w:type="dxa" w:w="5040"/>
          </w:tcPr>
          <w:p>
            <w:r>
              <w:t>Measure of surveillance area or time left unobserved because higher-priority work interrupted search.</w:t>
            </w:r>
          </w:p>
        </w:tc>
      </w:tr>
      <w:tr>
        <w:trPr>
          <w:cantSplit/>
        </w:trPr>
        <w:tc>
          <w:tcPr>
            <w:tcW w:type="dxa" w:w="5040"/>
          </w:tcPr>
          <w:p>
            <w:r>
              <w:t>Local reacquisition</w:t>
            </w:r>
          </w:p>
        </w:tc>
        <w:tc>
          <w:tcPr>
            <w:tcW w:type="dxa" w:w="5040"/>
          </w:tcPr>
          <w:p>
            <w:r>
              <w:t>Bounded fine-angle scan around a missed track's predicted bearing.</w:t>
            </w:r>
          </w:p>
        </w:tc>
      </w:tr>
      <w:tr>
        <w:trPr>
          <w:cantSplit/>
        </w:trPr>
        <w:tc>
          <w:tcPr>
            <w:tcW w:type="dxa" w:w="5040"/>
          </w:tcPr>
          <w:p>
            <w:r>
              <w:t>Physical PRI</w:t>
            </w:r>
          </w:p>
        </w:tc>
        <w:tc>
          <w:tcPr>
            <w:tcW w:type="dxa" w:w="5040"/>
          </w:tcPr>
          <w:p>
            <w:r>
              <w:t>Time between consecutive transmitted Golay A or B physical pulses; 250 us at the 4 kHz baseline.</w:t>
            </w:r>
          </w:p>
        </w:tc>
      </w:tr>
      <w:tr>
        <w:trPr>
          <w:cantSplit/>
        </w:trPr>
        <w:tc>
          <w:tcPr>
            <w:tcW w:type="dxa" w:w="5040"/>
          </w:tcPr>
          <w:p>
            <w:r>
              <w:t>Pair PRI</w:t>
            </w:r>
          </w:p>
        </w:tc>
        <w:tc>
          <w:tcPr>
            <w:tcW w:type="dxa" w:w="5040"/>
          </w:tcPr>
          <w:p>
            <w:r>
              <w:t>Time between consecutive complementary A+B outputs used for Doppler; 500 us at the operational Golay baseline.</w:t>
            </w:r>
          </w:p>
        </w:tc>
      </w:tr>
      <w:tr>
        <w:trPr>
          <w:cantSplit/>
        </w:trPr>
        <w:tc>
          <w:tcPr>
            <w:tcW w:type="dxa" w:w="5040"/>
          </w:tcPr>
          <w:p>
            <w:r>
              <w:t>North-up PPI</w:t>
            </w:r>
          </w:p>
        </w:tc>
        <w:tc>
          <w:tcPr>
            <w:tcW w:type="dxa" w:w="5040"/>
          </w:tcPr>
          <w:p>
            <w:r>
              <w:t>Display convention with North/0 degrees at the top and bearing increasing clockwise.</w:t>
            </w:r>
          </w:p>
        </w:tc>
      </w:tr>
      <w:tr>
        <w:trPr>
          <w:cantSplit/>
        </w:trPr>
        <w:tc>
          <w:tcPr>
            <w:tcW w:type="dxa" w:w="5040"/>
          </w:tcPr>
          <w:p>
            <w:r>
              <w:t>SocketCAN</w:t>
            </w:r>
          </w:p>
        </w:tc>
        <w:tc>
          <w:tcPr>
            <w:tcW w:type="dxa" w:w="5040"/>
          </w:tcPr>
          <w:p>
            <w:r>
              <w:t>Linux CAN networking interface used by Vanguard X through can0 at 1 Mbit/s.</w:t>
            </w:r>
          </w:p>
        </w:tc>
      </w:tr>
    </w:tbl>
    <w:p>
      <w:pPr>
        <w:pStyle w:val="Heading1"/>
      </w:pPr>
      <w:r>
        <w:t>Appendix C. Design Philosophy</w:t>
      </w:r>
    </w:p>
    <w:p>
      <w:pPr>
        <w:pStyle w:val="Heading2"/>
      </w:pPr>
      <w:r>
        <w:t>C.1 Architecture before hardware</w:t>
      </w:r>
    </w:p>
    <w:p>
      <w:r>
        <w:t>The architecture defines stable responsibilities first. Hardware drivers are inserted behind established boundaries so the scheduler, pointing and processor remain testable and replaceable.</w:t>
      </w:r>
    </w:p>
    <w:p>
      <w:pPr>
        <w:pStyle w:val="Heading2"/>
      </w:pPr>
      <w:r>
        <w:t>C.2 Deterministic timing at the correct layer</w:t>
      </w:r>
    </w:p>
    <w:p>
      <w:r>
        <w:t>Linux and Python are appropriate for mission logic and dwell scheduling but not individual pulse timing. Hardware timestamps and FPGA-controlled I/O own PRI, transmit and receive timing.</w:t>
      </w:r>
    </w:p>
    <w:p>
      <w:pPr>
        <w:pStyle w:val="Heading2"/>
      </w:pPr>
      <w:r>
        <w:t>C.3 Single ownership of stateful resources</w:t>
      </w:r>
    </w:p>
    <w:p>
      <w:r>
        <w:t>A motor, SDR stream or TRM configuration path shall have one operational owner. Other components consume state or request actions through interfaces.</w:t>
      </w:r>
    </w:p>
    <w:p>
      <w:pPr>
        <w:pStyle w:val="Heading2"/>
      </w:pPr>
      <w:r>
        <w:t>C.4 Provenance is part of the data</w:t>
      </w:r>
    </w:p>
    <w:p>
      <w:r>
        <w:t>IQ without pulse timing, pointing, navigation and hardware status is incomplete. Metadata is required for calibration, debugging, replay and later adaptive behaviour.</w:t>
      </w:r>
    </w:p>
    <w:p>
      <w:pPr>
        <w:pStyle w:val="Heading2"/>
      </w:pPr>
      <w:r>
        <w:t>C.5 Simulation and hardware equivalence</w:t>
      </w:r>
    </w:p>
    <w:p>
      <w:r>
        <w:t>Simulation is not a separate application. It uses the same task, pointing, execution and processing contracts so architectural behaviour can be verified before hardware risk is introduced.</w:t>
      </w:r>
    </w:p>
    <w:p>
      <w:pPr>
        <w:pStyle w:val="Heading2"/>
      </w:pPr>
      <w:r>
        <w:t>C.6 Incremental verification</w:t>
      </w:r>
    </w:p>
    <w:p>
      <w:r>
        <w:t>Receive-only operation remains available while timed transmit is added. Low-power scope and loopback verification precede connection to the high-power RF path.</w:t>
      </w:r>
    </w:p>
    <w:p>
      <w:r>
        <w:br w:type="page"/>
      </w:r>
    </w:p>
    <w:p>
      <w:pPr>
        <w:jc w:val="center"/>
      </w:pPr>
      <w:r>
        <w:rPr>
          <w:b/>
          <w:color w:val="1F4E79"/>
          <w:sz w:val="32"/>
        </w:rPr>
        <w:t>END OF DOCUMENT</w:t>
      </w:r>
    </w:p>
    <w:sectPr w:rsidR="00FC693F" w:rsidRPr="0006063C" w:rsidSect="00034616">
      <w:headerReference w:type="default" r:id="rId9"/>
      <w:footerReference w:type="default" r:id="rId10"/>
      <w:headerReference w:type="first" r:id="rId18"/>
      <w:headerReference w:type="even" r:id="rId19"/>
      <w:footerReference w:type="first" r:id="rId20"/>
      <w:footerReference w:type="even" r:id="rId21"/>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6"/>
      </w:rPr>
      <w:t xml:space="preserve">Engineering Draft | Configuration controlled in Git | Page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VX-SSA-001 | Vanguard X Software &amp; System Architecture | Version 0.8</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20"/>
      <w:outlineLvl w:val="0"/>
    </w:pPr>
    <w:rPr>
      <w:rFonts w:asciiTheme="majorHAnsi" w:eastAsiaTheme="majorEastAsia" w:hAnsiTheme="majorHAnsi" w:cstheme="majorBidi" w:ascii="Aptos Display" w:hAnsi="Aptos Display"/>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120" w:after="60"/>
      <w:outlineLvl w:val="1"/>
    </w:pPr>
    <w:rPr>
      <w:rFonts w:asciiTheme="majorHAnsi" w:eastAsiaTheme="majorEastAsia" w:hAnsiTheme="majorHAnsi" w:cstheme="majorBidi" w:ascii="Aptos Display" w:hAnsi="Aptos Display"/>
      <w:b/>
      <w:bCs/>
      <w:color w:val="17365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1F4E7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F4E79"/>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header" Target="header2.xml"/><Relationship Id="rId19" Type="http://schemas.openxmlformats.org/officeDocument/2006/relationships/header" Target="header3.xml"/><Relationship Id="rId20" Type="http://schemas.openxmlformats.org/officeDocument/2006/relationships/footer" Target="footer2.xml"/><Relationship Id="rId21" Type="http://schemas.openxmlformats.org/officeDocument/2006/relationships/footer" Target="footer3.xml"/><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jpg"/><Relationship Id="rId26" Type="http://schemas.openxmlformats.org/officeDocument/2006/relationships/image" Target="media/image1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Vanguard X Software &amp; System Architecture Specification</dc:title>
  <dc:subject>Version 0.7f ATR CRO verification and TX pre-roll baseline</dc:subject>
  <dc:creator>ASR Defence / Len Sciacca</dc:creator>
  <cp:keywords/>
  <dc:description>Updated 20 July 2026 with B200mini CRO-only ATR verification evidence.</dc:description>
  <cp:lastModifiedBy/>
  <cp:revision>1</cp:revision>
  <dcterms:created xsi:type="dcterms:W3CDTF">2013-12-23T23:15:00Z</dcterms:created>
  <dcterms:modified xsi:type="dcterms:W3CDTF">2013-12-23T23:15:00Z</dcterms:modified>
  <cp:category/>
  <cp:version>0.8</cp:version>
</cp:coreProperties>
</file>