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8566" w14:textId="64137D9A" w:rsidR="0022722F" w:rsidRDefault="00735F4B" w:rsidP="00735F4B">
      <w:p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35F4B">
        <w:rPr>
          <w:rFonts w:asciiTheme="majorHAnsi" w:hAnsiTheme="majorHAnsi"/>
          <w:b/>
          <w:bCs/>
          <w:color w:val="0E2841" w:themeColor="text2"/>
          <w:sz w:val="36"/>
          <w:szCs w:val="36"/>
        </w:rPr>
        <w:t>AI CONTROLS CATALOGUE</w:t>
      </w:r>
    </w:p>
    <w:p w14:paraId="17F9FE10" w14:textId="77777777" w:rsidR="00735F4B" w:rsidRDefault="00735F4B" w:rsidP="00735F4B">
      <w:pPr>
        <w:pStyle w:val="ListParagraph"/>
        <w:ind w:hanging="360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1368E7F0" w14:textId="6C41D935" w:rsidR="00735F4B" w:rsidRDefault="00735F4B" w:rsidP="00735F4B">
      <w:p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Comprehensive AI Controls Library Across Data, Model, Security, Deployment, Monitoring &amp; Governance</w:t>
      </w:r>
    </w:p>
    <w:p w14:paraId="22C159A2" w14:textId="77777777" w:rsidR="00735F4B" w:rsidRDefault="00735F4B" w:rsidP="00735F4B">
      <w:pPr>
        <w:rPr>
          <w:rFonts w:ascii="Calibri" w:hAnsi="Calibri" w:cs="Calibri"/>
          <w:sz w:val="28"/>
          <w:szCs w:val="28"/>
        </w:rPr>
      </w:pPr>
    </w:p>
    <w:p w14:paraId="6932C11E" w14:textId="13286F7C" w:rsidR="00735F4B" w:rsidRDefault="00735F4B" w:rsidP="00735F4B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35F4B">
        <w:rPr>
          <w:rFonts w:asciiTheme="majorHAnsi" w:hAnsiTheme="majorHAnsi"/>
          <w:b/>
          <w:bCs/>
          <w:color w:val="0E2841" w:themeColor="text2"/>
          <w:sz w:val="36"/>
          <w:szCs w:val="36"/>
        </w:rPr>
        <w:t>DATA CONTROLS</w:t>
      </w:r>
    </w:p>
    <w:p w14:paraId="5B599942" w14:textId="77777777" w:rsidR="007403B9" w:rsidRDefault="007403B9" w:rsidP="007403B9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135E8266" w14:textId="4ADC61B4" w:rsidR="00735F4B" w:rsidRDefault="00735F4B" w:rsidP="00735F4B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35F4B">
        <w:rPr>
          <w:rFonts w:ascii="Calibri" w:hAnsi="Calibri" w:cs="Calibri"/>
          <w:b/>
          <w:bCs/>
          <w:sz w:val="28"/>
          <w:szCs w:val="28"/>
        </w:rPr>
        <w:t>Data Governance Controls</w:t>
      </w:r>
    </w:p>
    <w:p w14:paraId="3EAC5863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DC-01: Data ownership and stewardship defined</w:t>
      </w:r>
    </w:p>
    <w:p w14:paraId="74C7AB53" w14:textId="411FE9FE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DC-02: Data classification applied</w:t>
      </w:r>
      <w:r w:rsidRPr="00735F4B">
        <w:rPr>
          <w:rFonts w:ascii="Calibri" w:hAnsi="Calibri" w:cs="Calibri"/>
          <w:sz w:val="28"/>
          <w:szCs w:val="28"/>
        </w:rPr>
        <w:t xml:space="preserve"> (</w:t>
      </w:r>
      <w:r w:rsidRPr="00735F4B">
        <w:rPr>
          <w:rFonts w:ascii="Calibri" w:hAnsi="Calibri" w:cs="Calibri"/>
          <w:sz w:val="28"/>
          <w:szCs w:val="28"/>
        </w:rPr>
        <w:t>Public/internal/confidential/sensitive)</w:t>
      </w:r>
    </w:p>
    <w:p w14:paraId="2B04756E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DC-03: Data retention policies enforced</w:t>
      </w:r>
    </w:p>
    <w:p w14:paraId="6519D48D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DC-04: Data minimisation applied to all training inputs</w:t>
      </w:r>
    </w:p>
    <w:p w14:paraId="3A821FB4" w14:textId="2AFC0C07" w:rsid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DC-05: Data provenance tracking implemented</w:t>
      </w:r>
    </w:p>
    <w:p w14:paraId="2694922E" w14:textId="77777777" w:rsidR="00735F4B" w:rsidRDefault="00735F4B" w:rsidP="00735F4B">
      <w:pPr>
        <w:rPr>
          <w:rFonts w:ascii="Calibri" w:hAnsi="Calibri" w:cs="Calibri"/>
          <w:sz w:val="28"/>
          <w:szCs w:val="28"/>
        </w:rPr>
      </w:pPr>
    </w:p>
    <w:p w14:paraId="236DACA5" w14:textId="77777777" w:rsidR="00735F4B" w:rsidRPr="00735F4B" w:rsidRDefault="00735F4B" w:rsidP="00735F4B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35F4B">
        <w:rPr>
          <w:rFonts w:ascii="Calibri" w:hAnsi="Calibri" w:cs="Calibri"/>
          <w:b/>
          <w:bCs/>
          <w:sz w:val="28"/>
          <w:szCs w:val="28"/>
        </w:rPr>
        <w:t>Data Quality Controls</w:t>
      </w:r>
    </w:p>
    <w:p w14:paraId="263FF9E9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DC-06: Completeness validation</w:t>
      </w:r>
    </w:p>
    <w:p w14:paraId="7F632F11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DC-07: Accuracy verification</w:t>
      </w:r>
    </w:p>
    <w:p w14:paraId="1B118DB3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DC-08: Outlier detection and handling</w:t>
      </w:r>
    </w:p>
    <w:p w14:paraId="0B75BC82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DC-09: Duplicate detection and removal</w:t>
      </w:r>
    </w:p>
    <w:p w14:paraId="331E2BB8" w14:textId="3ECD8EB5" w:rsid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DC-10: Missing value treatment standards defined</w:t>
      </w:r>
    </w:p>
    <w:p w14:paraId="2932882F" w14:textId="77777777" w:rsidR="00735F4B" w:rsidRPr="00735F4B" w:rsidRDefault="00735F4B" w:rsidP="00735F4B">
      <w:pPr>
        <w:rPr>
          <w:rFonts w:ascii="Calibri" w:hAnsi="Calibri" w:cs="Calibri"/>
          <w:sz w:val="28"/>
          <w:szCs w:val="28"/>
        </w:rPr>
      </w:pPr>
    </w:p>
    <w:p w14:paraId="129F2AD3" w14:textId="77777777" w:rsidR="00735F4B" w:rsidRPr="00735F4B" w:rsidRDefault="00735F4B" w:rsidP="00735F4B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35F4B">
        <w:rPr>
          <w:rFonts w:ascii="Calibri" w:hAnsi="Calibri" w:cs="Calibri"/>
          <w:b/>
          <w:bCs/>
          <w:sz w:val="28"/>
          <w:szCs w:val="28"/>
        </w:rPr>
        <w:t>Data Privacy Controls</w:t>
      </w:r>
    </w:p>
    <w:p w14:paraId="06207E5A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DC-11: PII masking or anonymisation</w:t>
      </w:r>
    </w:p>
    <w:p w14:paraId="279C0010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DC-12: Consent validity checks</w:t>
      </w:r>
    </w:p>
    <w:p w14:paraId="26BB3696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DC-13: Sensitive attribute protection</w:t>
      </w:r>
    </w:p>
    <w:p w14:paraId="01898AC9" w14:textId="77777777" w:rsid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DC-14: Differential privacy optionality</w:t>
      </w:r>
    </w:p>
    <w:p w14:paraId="6CA47231" w14:textId="2751A090" w:rsid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DC-15: Legal basis for processing validated (PDPA/GDPR)</w:t>
      </w:r>
    </w:p>
    <w:p w14:paraId="680576C4" w14:textId="77777777" w:rsidR="00735F4B" w:rsidRPr="00735F4B" w:rsidRDefault="00735F4B" w:rsidP="00735F4B">
      <w:pPr>
        <w:rPr>
          <w:rFonts w:ascii="Calibri" w:hAnsi="Calibri" w:cs="Calibri"/>
          <w:sz w:val="28"/>
          <w:szCs w:val="28"/>
        </w:rPr>
      </w:pPr>
    </w:p>
    <w:p w14:paraId="0880576C" w14:textId="77777777" w:rsidR="00735F4B" w:rsidRPr="00735F4B" w:rsidRDefault="00735F4B" w:rsidP="00735F4B">
      <w:pPr>
        <w:pStyle w:val="ListParagraph"/>
        <w:ind w:left="1860"/>
        <w:rPr>
          <w:rFonts w:ascii="Calibri" w:hAnsi="Calibri" w:cs="Calibri"/>
          <w:sz w:val="28"/>
          <w:szCs w:val="28"/>
        </w:rPr>
      </w:pPr>
    </w:p>
    <w:p w14:paraId="65BA1E1E" w14:textId="77777777" w:rsidR="00735F4B" w:rsidRPr="00735F4B" w:rsidRDefault="00735F4B" w:rsidP="00735F4B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35F4B">
        <w:rPr>
          <w:rFonts w:ascii="Calibri" w:hAnsi="Calibri" w:cs="Calibri"/>
          <w:b/>
          <w:bCs/>
          <w:sz w:val="28"/>
          <w:szCs w:val="28"/>
        </w:rPr>
        <w:t>Data Bias Controls</w:t>
      </w:r>
    </w:p>
    <w:p w14:paraId="2F238F6F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DC-16: Bias detection across protected groups</w:t>
      </w:r>
    </w:p>
    <w:p w14:paraId="02426188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DC-17: Balanced dataset evaluation</w:t>
      </w:r>
    </w:p>
    <w:p w14:paraId="47A44778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DC-18: Label quality audit</w:t>
      </w:r>
    </w:p>
    <w:p w14:paraId="04568EC2" w14:textId="77777777" w:rsidR="00735F4B" w:rsidRP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DC-19: Reweighting/rebalancing applied when required</w:t>
      </w:r>
    </w:p>
    <w:p w14:paraId="4C7D37AE" w14:textId="07AF4986" w:rsidR="00735F4B" w:rsidRDefault="00735F4B" w:rsidP="00735F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35F4B">
        <w:rPr>
          <w:rFonts w:ascii="Calibri" w:hAnsi="Calibri" w:cs="Calibri"/>
          <w:sz w:val="28"/>
          <w:szCs w:val="28"/>
        </w:rPr>
        <w:t>DC-20: Documentation of known dataset limitations</w:t>
      </w:r>
    </w:p>
    <w:p w14:paraId="28F7AA3F" w14:textId="77777777" w:rsidR="00735F4B" w:rsidRDefault="00735F4B" w:rsidP="00735F4B">
      <w:pPr>
        <w:rPr>
          <w:rFonts w:ascii="Calibri" w:hAnsi="Calibri" w:cs="Calibri"/>
          <w:sz w:val="28"/>
          <w:szCs w:val="28"/>
        </w:rPr>
      </w:pPr>
    </w:p>
    <w:p w14:paraId="68BB579D" w14:textId="77777777" w:rsidR="007403B9" w:rsidRDefault="007403B9" w:rsidP="007403B9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403B9">
        <w:rPr>
          <w:rFonts w:asciiTheme="majorHAnsi" w:hAnsiTheme="majorHAnsi"/>
          <w:b/>
          <w:bCs/>
          <w:color w:val="0E2841" w:themeColor="text2"/>
          <w:sz w:val="36"/>
          <w:szCs w:val="36"/>
        </w:rPr>
        <w:t>MODEL CONTROLS</w:t>
      </w:r>
    </w:p>
    <w:p w14:paraId="5A23DE14" w14:textId="77777777" w:rsidR="007403B9" w:rsidRPr="007403B9" w:rsidRDefault="007403B9" w:rsidP="007403B9">
      <w:pPr>
        <w:pStyle w:val="ListParagraph"/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</w:p>
    <w:p w14:paraId="761D02C4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Model Architecture Controls</w:t>
      </w:r>
    </w:p>
    <w:p w14:paraId="65F8BDD6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MC-01: Model type justified and documented</w:t>
      </w:r>
    </w:p>
    <w:p w14:paraId="1297B960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MC-02: Feature importance documented</w:t>
      </w:r>
    </w:p>
    <w:p w14:paraId="61AF4A4D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MC-03: Feature sensitivity analysis conducted</w:t>
      </w:r>
    </w:p>
    <w:p w14:paraId="1CC24F2E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MC-04: Hyperparameter decisions recorded</w:t>
      </w:r>
    </w:p>
    <w:p w14:paraId="65645E1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MC-05: Black-box model justification required</w:t>
      </w:r>
    </w:p>
    <w:p w14:paraId="5679A185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13364203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Fairness &amp; Ethical Controls</w:t>
      </w:r>
    </w:p>
    <w:p w14:paraId="45CA01DF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MC-06: Fairness metrics computed by demographic groups</w:t>
      </w:r>
    </w:p>
    <w:p w14:paraId="71B6ACDD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MC-07: Threshold adjustments evaluated for fairness</w:t>
      </w:r>
    </w:p>
    <w:p w14:paraId="081286DC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MC-08: Unfair bias mitigation strategies applied</w:t>
      </w:r>
    </w:p>
    <w:p w14:paraId="49CC610A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MC-09: Ethical risk scenarios documented</w:t>
      </w:r>
    </w:p>
    <w:p w14:paraId="40B3A289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MC-10: Fairness limitations disclosed</w:t>
      </w:r>
    </w:p>
    <w:p w14:paraId="466F3CCF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347C9F47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Explainability Controls</w:t>
      </w:r>
    </w:p>
    <w:p w14:paraId="434448E4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MC-11: Explainability method selected and justified</w:t>
      </w:r>
    </w:p>
    <w:p w14:paraId="2DAD32F6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MC-12: SHAP/LIME/Feature Importance evaluated</w:t>
      </w:r>
    </w:p>
    <w:p w14:paraId="6888E2ED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MC-13: User-facing explanations documented</w:t>
      </w:r>
    </w:p>
    <w:p w14:paraId="66769CF3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MC-14: Explainability limitations recorded</w:t>
      </w:r>
    </w:p>
    <w:p w14:paraId="6F7003F8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MC-15: High-risk decisions require HITL explainability</w:t>
      </w:r>
    </w:p>
    <w:p w14:paraId="37553E4D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5C43D787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Performance &amp; Robustness Controls</w:t>
      </w:r>
    </w:p>
    <w:p w14:paraId="51D8C3DD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MC-16: Performance metrics defined per use case</w:t>
      </w:r>
    </w:p>
    <w:p w14:paraId="03DEDB3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MC-17: Stress testing conducted</w:t>
      </w:r>
    </w:p>
    <w:p w14:paraId="178B9B7A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MC-18: Out-of-distribution robustness tested</w:t>
      </w:r>
    </w:p>
    <w:p w14:paraId="61D86565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MC-19: Model confidence thresholds validated</w:t>
      </w:r>
    </w:p>
    <w:p w14:paraId="4685377E" w14:textId="45B6B7DF" w:rsid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MC-20: Periodic model validation scheduled</w:t>
      </w:r>
    </w:p>
    <w:p w14:paraId="0D40A175" w14:textId="77777777" w:rsid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5AE6532F" w14:textId="77777777" w:rsidR="007403B9" w:rsidRPr="007403B9" w:rsidRDefault="007403B9" w:rsidP="007403B9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403B9">
        <w:rPr>
          <w:rFonts w:asciiTheme="majorHAnsi" w:hAnsiTheme="majorHAnsi"/>
          <w:b/>
          <w:bCs/>
          <w:color w:val="0E2841" w:themeColor="text2"/>
          <w:sz w:val="36"/>
          <w:szCs w:val="36"/>
        </w:rPr>
        <w:t xml:space="preserve">SECURITY CONTROLS </w:t>
      </w:r>
    </w:p>
    <w:p w14:paraId="51120877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3BDBA7A1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Input Security Controls</w:t>
      </w:r>
    </w:p>
    <w:p w14:paraId="74BAA2A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SC-01: Prompt injection filtering</w:t>
      </w:r>
    </w:p>
    <w:p w14:paraId="36FDDDD8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SC-02: Adversarial input detection</w:t>
      </w:r>
    </w:p>
    <w:p w14:paraId="44347BEA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SC-03: Sanitisation of user-provided inputs</w:t>
      </w:r>
    </w:p>
    <w:p w14:paraId="2C828EAF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SC-04: Context window validation (for LLMs)</w:t>
      </w:r>
    </w:p>
    <w:p w14:paraId="27A89EC6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SC-05: Toxic/harmful content blocking</w:t>
      </w:r>
    </w:p>
    <w:p w14:paraId="0ADFEB8C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4B5C16A0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Training Data Security Controls</w:t>
      </w:r>
    </w:p>
    <w:p w14:paraId="26DCDDE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SC-06: Data poisoning detection</w:t>
      </w:r>
    </w:p>
    <w:p w14:paraId="0238CDD8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SC-07: Trusted data pipelines enforced</w:t>
      </w:r>
    </w:p>
    <w:p w14:paraId="583D876C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SC-08: Secure data storage for training sets</w:t>
      </w:r>
    </w:p>
    <w:p w14:paraId="4B811DAB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SC-09: Dataset integrity validation</w:t>
      </w:r>
    </w:p>
    <w:p w14:paraId="335BF506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SC-10: Audit trail for training data changes</w:t>
      </w:r>
    </w:p>
    <w:p w14:paraId="69D3C117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7BA38E5B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Model Security Controls</w:t>
      </w:r>
    </w:p>
    <w:p w14:paraId="4C9934B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SC-11: Model inversion protection</w:t>
      </w:r>
    </w:p>
    <w:p w14:paraId="2C87390D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SC-12: Membership inference resistance</w:t>
      </w:r>
    </w:p>
    <w:p w14:paraId="5AA47DE4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SC-13: Model extraction defense (rate limiting, watermarking)</w:t>
      </w:r>
    </w:p>
    <w:p w14:paraId="737E6952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SC-14: Adversarial robustness via adversarial training</w:t>
      </w:r>
    </w:p>
    <w:p w14:paraId="539B524B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lastRenderedPageBreak/>
        <w:t>SC-15: Differential privacy applied where needed</w:t>
      </w:r>
    </w:p>
    <w:p w14:paraId="08B0E97B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05F9CC2F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Deployment Security Controls</w:t>
      </w:r>
    </w:p>
    <w:p w14:paraId="5B1AD8E6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SC-16: API authentication &amp; authorization</w:t>
      </w:r>
    </w:p>
    <w:p w14:paraId="2FFFE7BE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SC-17: Rate limiting for model queries</w:t>
      </w:r>
    </w:p>
    <w:p w14:paraId="076A24FD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SC-18: Logging and monitoring of suspicious behaviour</w:t>
      </w:r>
    </w:p>
    <w:p w14:paraId="0E19C3E6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SC-19: Encryption in transit and at rest</w:t>
      </w:r>
    </w:p>
    <w:p w14:paraId="0D7CF4B2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SC-20: Access controls for model modification</w:t>
      </w:r>
    </w:p>
    <w:p w14:paraId="09912119" w14:textId="77777777" w:rsid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41A7C78A" w14:textId="77777777" w:rsidR="007403B9" w:rsidRPr="007403B9" w:rsidRDefault="007403B9" w:rsidP="007403B9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403B9">
        <w:rPr>
          <w:rFonts w:asciiTheme="majorHAnsi" w:hAnsiTheme="majorHAnsi"/>
          <w:b/>
          <w:bCs/>
          <w:color w:val="0E2841" w:themeColor="text2"/>
          <w:sz w:val="36"/>
          <w:szCs w:val="36"/>
        </w:rPr>
        <w:t>DEPLOYMENT CONTROLS</w:t>
      </w:r>
    </w:p>
    <w:p w14:paraId="5C9ED3DF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5432EA93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Pre-Deployment Controls</w:t>
      </w:r>
    </w:p>
    <w:p w14:paraId="405DFE1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DCY-01: Model Card completed</w:t>
      </w:r>
    </w:p>
    <w:p w14:paraId="70E8A4E5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DCY-02: Data Card completed</w:t>
      </w:r>
    </w:p>
    <w:p w14:paraId="280AD36A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DCY-03: Risk Assessment completed</w:t>
      </w:r>
    </w:p>
    <w:p w14:paraId="425D447A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DCY-04: ATLAS Threat Assessment completed</w:t>
      </w:r>
    </w:p>
    <w:p w14:paraId="0F18D44A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DCY-05: Governance sign-off obtained</w:t>
      </w:r>
    </w:p>
    <w:p w14:paraId="4694D7CD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5727A0CC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Release Management Controls</w:t>
      </w:r>
    </w:p>
    <w:p w14:paraId="26509D55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DCY-06: Versioning strategy enforced</w:t>
      </w:r>
    </w:p>
    <w:p w14:paraId="7DB09CF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DCY-07: Code–model consistency ensured</w:t>
      </w:r>
    </w:p>
    <w:p w14:paraId="7B81CC4C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DCY-08: Shadow mode evaluation (if required)</w:t>
      </w:r>
    </w:p>
    <w:p w14:paraId="3D877E77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DCY-09: A/B testing results documented</w:t>
      </w:r>
    </w:p>
    <w:p w14:paraId="120B62A4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DCY-10: Go-Live checklist completed</w:t>
      </w:r>
    </w:p>
    <w:p w14:paraId="59D3E506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310600E8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Operational Controls</w:t>
      </w:r>
    </w:p>
    <w:p w14:paraId="4E5D8312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DCY-11: Access control matrix defined</w:t>
      </w:r>
    </w:p>
    <w:p w14:paraId="747A2B9E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DCY-12: Model fallback strategy (rule-based fallback)</w:t>
      </w:r>
    </w:p>
    <w:p w14:paraId="0DE843B0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DCY-13: Manual override capability enabled</w:t>
      </w:r>
    </w:p>
    <w:p w14:paraId="22797102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lastRenderedPageBreak/>
        <w:t>DCY-14: Safe failure mode defined</w:t>
      </w:r>
    </w:p>
    <w:p w14:paraId="508A0359" w14:textId="27F12ACD" w:rsid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DCY-15: Automatic blocking of high-risk outputs</w:t>
      </w:r>
    </w:p>
    <w:p w14:paraId="39A00ABF" w14:textId="77777777" w:rsid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2B88FEEA" w14:textId="77777777" w:rsidR="007403B9" w:rsidRPr="007403B9" w:rsidRDefault="007403B9" w:rsidP="007403B9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7403B9">
        <w:rPr>
          <w:rFonts w:asciiTheme="majorHAnsi" w:hAnsiTheme="majorHAnsi"/>
          <w:b/>
          <w:bCs/>
          <w:color w:val="0E2841" w:themeColor="text2"/>
          <w:sz w:val="36"/>
          <w:szCs w:val="36"/>
        </w:rPr>
        <w:t>MONITORING &amp; AUDIT CONTROLS</w:t>
      </w:r>
    </w:p>
    <w:p w14:paraId="41A825AF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6ABA79C5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Performance Monitoring Controls</w:t>
      </w:r>
    </w:p>
    <w:p w14:paraId="0EDE7A8C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MON-01: Metrics monitored regularly</w:t>
      </w:r>
    </w:p>
    <w:p w14:paraId="081009A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MON-02: Drift detection active (data &amp; concept drift)</w:t>
      </w:r>
    </w:p>
    <w:p w14:paraId="6A4E24E0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MON-03: Latency &amp; throughput alerts configured</w:t>
      </w:r>
    </w:p>
    <w:p w14:paraId="52E998D7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MON-04: Model degradation thresholds defined</w:t>
      </w:r>
    </w:p>
    <w:p w14:paraId="6699466C" w14:textId="77777777" w:rsid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MON-05: Automatic alerts for anomalies</w:t>
      </w:r>
    </w:p>
    <w:p w14:paraId="7A350AE6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3667D505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Bias &amp; Fairness Monitoring Controls</w:t>
      </w:r>
    </w:p>
    <w:p w14:paraId="486403CC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MON-06: Fairness metrics monitored by group</w:t>
      </w:r>
    </w:p>
    <w:p w14:paraId="3FF280ED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MON-07: Monthly fairness audits performed</w:t>
      </w:r>
    </w:p>
    <w:p w14:paraId="5548D971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MON-08: Ethical incident log maintained</w:t>
      </w:r>
    </w:p>
    <w:p w14:paraId="66CA999E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MON-09: Fairness degradation triggers retraining</w:t>
      </w:r>
    </w:p>
    <w:p w14:paraId="05742CE0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MON-10: Harmful output escalation workflow</w:t>
      </w:r>
    </w:p>
    <w:p w14:paraId="54EA451F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3A6A957F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Security Monitoring Controls</w:t>
      </w:r>
    </w:p>
    <w:p w14:paraId="25F5FDCF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MON-11: Adversarial detection logs reviewed</w:t>
      </w:r>
    </w:p>
    <w:p w14:paraId="6916AB6A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MON-12: Suspicious API usage alerts</w:t>
      </w:r>
    </w:p>
    <w:p w14:paraId="25BAEAB6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MON-13: Unauthorized access alerts</w:t>
      </w:r>
    </w:p>
    <w:p w14:paraId="0ECAFC7F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MON-14: Attack pattern monitoring</w:t>
      </w:r>
    </w:p>
    <w:p w14:paraId="1C454657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MON-15: Continuous threat intelligence updates</w:t>
      </w:r>
    </w:p>
    <w:p w14:paraId="28A845E8" w14:textId="77777777" w:rsidR="007403B9" w:rsidRP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5A8EA800" w14:textId="77777777" w:rsidR="007403B9" w:rsidRPr="007403B9" w:rsidRDefault="007403B9" w:rsidP="007403B9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403B9">
        <w:rPr>
          <w:rFonts w:ascii="Calibri" w:hAnsi="Calibri" w:cs="Calibri"/>
          <w:b/>
          <w:bCs/>
          <w:sz w:val="28"/>
          <w:szCs w:val="28"/>
        </w:rPr>
        <w:t>Audit Controls</w:t>
      </w:r>
    </w:p>
    <w:p w14:paraId="2DCFF639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MON-16: AI Audit Log maintained</w:t>
      </w:r>
    </w:p>
    <w:p w14:paraId="1E25A39A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lastRenderedPageBreak/>
        <w:t>MON-17: Model performance audit trail recorded</w:t>
      </w:r>
    </w:p>
    <w:p w14:paraId="25021BF2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MON-18: Annual external audit required (if high-risk)</w:t>
      </w:r>
    </w:p>
    <w:p w14:paraId="5CF6D3F3" w14:textId="77777777" w:rsidR="007403B9" w:rsidRP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MON-19: Quarterly governance review</w:t>
      </w:r>
    </w:p>
    <w:p w14:paraId="64403936" w14:textId="042E0499" w:rsidR="007403B9" w:rsidRDefault="007403B9" w:rsidP="007403B9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7403B9">
        <w:rPr>
          <w:rFonts w:ascii="Calibri" w:hAnsi="Calibri" w:cs="Calibri"/>
          <w:sz w:val="28"/>
          <w:szCs w:val="28"/>
        </w:rPr>
        <w:t>MON-20: Traceability across versions provided</w:t>
      </w:r>
    </w:p>
    <w:p w14:paraId="184B020F" w14:textId="77777777" w:rsidR="007403B9" w:rsidRDefault="007403B9" w:rsidP="007403B9">
      <w:pPr>
        <w:rPr>
          <w:rFonts w:ascii="Calibri" w:hAnsi="Calibri" w:cs="Calibri"/>
          <w:sz w:val="28"/>
          <w:szCs w:val="28"/>
        </w:rPr>
      </w:pPr>
    </w:p>
    <w:p w14:paraId="6001ECAF" w14:textId="77777777" w:rsidR="0082464B" w:rsidRPr="0082464B" w:rsidRDefault="0082464B" w:rsidP="0082464B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0E2841" w:themeColor="text2"/>
          <w:sz w:val="36"/>
          <w:szCs w:val="36"/>
        </w:rPr>
      </w:pPr>
      <w:r w:rsidRPr="0082464B">
        <w:rPr>
          <w:rFonts w:asciiTheme="majorHAnsi" w:hAnsiTheme="majorHAnsi"/>
          <w:b/>
          <w:bCs/>
          <w:color w:val="0E2841" w:themeColor="text2"/>
          <w:sz w:val="36"/>
          <w:szCs w:val="36"/>
        </w:rPr>
        <w:t>GOVERNANCE &amp; OVERSIGHT CONTROLS</w:t>
      </w:r>
    </w:p>
    <w:p w14:paraId="44E1DDF3" w14:textId="77777777" w:rsidR="0082464B" w:rsidRPr="0082464B" w:rsidRDefault="0082464B" w:rsidP="0082464B">
      <w:pPr>
        <w:rPr>
          <w:rFonts w:ascii="Calibri" w:hAnsi="Calibri" w:cs="Calibri"/>
          <w:sz w:val="28"/>
          <w:szCs w:val="28"/>
        </w:rPr>
      </w:pPr>
    </w:p>
    <w:p w14:paraId="280C8E18" w14:textId="77777777" w:rsidR="0082464B" w:rsidRPr="0082464B" w:rsidRDefault="0082464B" w:rsidP="0082464B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82464B">
        <w:rPr>
          <w:rFonts w:ascii="Calibri" w:hAnsi="Calibri" w:cs="Calibri"/>
          <w:b/>
          <w:bCs/>
          <w:sz w:val="28"/>
          <w:szCs w:val="28"/>
        </w:rPr>
        <w:t>Governance Structure Controls</w:t>
      </w:r>
    </w:p>
    <w:p w14:paraId="04B3E7E5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GOV-01: RACI defined for all AI roles</w:t>
      </w:r>
    </w:p>
    <w:p w14:paraId="04D3E003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GOV-02: AI Governance Board established</w:t>
      </w:r>
    </w:p>
    <w:p w14:paraId="4F457FD2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GOV-03: AI Program Manager oversight</w:t>
      </w:r>
    </w:p>
    <w:p w14:paraId="384585FD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GOV-04: AI Risk Manager validation</w:t>
      </w:r>
    </w:p>
    <w:p w14:paraId="5E32078F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GOV-05: Cross-functional approval required</w:t>
      </w:r>
    </w:p>
    <w:p w14:paraId="4058F22F" w14:textId="77777777" w:rsidR="0082464B" w:rsidRPr="0082464B" w:rsidRDefault="0082464B" w:rsidP="0082464B">
      <w:pPr>
        <w:rPr>
          <w:rFonts w:ascii="Calibri" w:hAnsi="Calibri" w:cs="Calibri"/>
          <w:sz w:val="28"/>
          <w:szCs w:val="28"/>
        </w:rPr>
      </w:pPr>
    </w:p>
    <w:p w14:paraId="2F4FCADE" w14:textId="77777777" w:rsidR="0082464B" w:rsidRPr="0082464B" w:rsidRDefault="0082464B" w:rsidP="0082464B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82464B">
        <w:rPr>
          <w:rFonts w:ascii="Calibri" w:hAnsi="Calibri" w:cs="Calibri"/>
          <w:b/>
          <w:bCs/>
          <w:sz w:val="28"/>
          <w:szCs w:val="28"/>
        </w:rPr>
        <w:t>Policy &amp; Compliance Controls</w:t>
      </w:r>
    </w:p>
    <w:p w14:paraId="23267FAA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GOV-06: Alignment with ISO/IEC 42001</w:t>
      </w:r>
    </w:p>
    <w:p w14:paraId="16FC6E82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GOV-07: Alignment with NIST AI RMF</w:t>
      </w:r>
    </w:p>
    <w:p w14:paraId="5743B8B9" w14:textId="77777777" w:rsidR="00AD073A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D073A">
        <w:rPr>
          <w:rFonts w:ascii="Calibri" w:hAnsi="Calibri" w:cs="Calibri"/>
          <w:sz w:val="28"/>
          <w:szCs w:val="28"/>
        </w:rPr>
        <w:t>GOV-08: Alignment with OECD Principles</w:t>
      </w:r>
    </w:p>
    <w:p w14:paraId="390EF3D0" w14:textId="3BD0E090" w:rsidR="0082464B" w:rsidRPr="00AD073A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D073A">
        <w:rPr>
          <w:rFonts w:ascii="Calibri" w:hAnsi="Calibri" w:cs="Calibri"/>
          <w:sz w:val="28"/>
          <w:szCs w:val="28"/>
        </w:rPr>
        <w:t>GOV-09: Compliance with EU AI Act (if applicable)</w:t>
      </w:r>
    </w:p>
    <w:p w14:paraId="0DAC3EC5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GOV-10: Compliance with PDPA/GDPR</w:t>
      </w:r>
    </w:p>
    <w:p w14:paraId="23F0B4A1" w14:textId="77777777" w:rsidR="0082464B" w:rsidRPr="0082464B" w:rsidRDefault="0082464B" w:rsidP="0082464B">
      <w:pPr>
        <w:rPr>
          <w:rFonts w:ascii="Calibri" w:hAnsi="Calibri" w:cs="Calibri"/>
          <w:sz w:val="28"/>
          <w:szCs w:val="28"/>
        </w:rPr>
      </w:pPr>
    </w:p>
    <w:p w14:paraId="644E4CA4" w14:textId="77777777" w:rsidR="0082464B" w:rsidRPr="0082464B" w:rsidRDefault="0082464B" w:rsidP="0082464B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82464B">
        <w:rPr>
          <w:rFonts w:ascii="Calibri" w:hAnsi="Calibri" w:cs="Calibri"/>
          <w:b/>
          <w:bCs/>
          <w:sz w:val="28"/>
          <w:szCs w:val="28"/>
        </w:rPr>
        <w:t>Documentation Controls</w:t>
      </w:r>
    </w:p>
    <w:p w14:paraId="2ADF2CB6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GOV-11: Mandatory documentation package (8 templates)</w:t>
      </w:r>
    </w:p>
    <w:p w14:paraId="4EC302A1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GOV-12: Change log for all updates</w:t>
      </w:r>
    </w:p>
    <w:p w14:paraId="2A48C364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GOV-13: Version control enforcement</w:t>
      </w:r>
    </w:p>
    <w:p w14:paraId="447C9231" w14:textId="77777777" w:rsidR="0082464B" w:rsidRPr="0082464B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GOV-14: Retirement &amp; decommissioning plan</w:t>
      </w:r>
    </w:p>
    <w:p w14:paraId="1B6EC421" w14:textId="7A014AD9" w:rsidR="007403B9" w:rsidRPr="007403B9" w:rsidRDefault="0082464B" w:rsidP="0082464B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2464B">
        <w:rPr>
          <w:rFonts w:ascii="Calibri" w:hAnsi="Calibri" w:cs="Calibri"/>
          <w:sz w:val="28"/>
          <w:szCs w:val="28"/>
        </w:rPr>
        <w:t>GOV-15: Annual refresh of all documentation</w:t>
      </w:r>
    </w:p>
    <w:sectPr w:rsidR="007403B9" w:rsidRPr="00740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7111"/>
    <w:multiLevelType w:val="hybridMultilevel"/>
    <w:tmpl w:val="D16EEE92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" w15:restartNumberingAfterBreak="0">
    <w:nsid w:val="633A6F05"/>
    <w:multiLevelType w:val="multilevel"/>
    <w:tmpl w:val="74C427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654337877">
    <w:abstractNumId w:val="1"/>
  </w:num>
  <w:num w:numId="2" w16cid:durableId="23497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E1"/>
    <w:rsid w:val="000374B2"/>
    <w:rsid w:val="00087AE1"/>
    <w:rsid w:val="0022722F"/>
    <w:rsid w:val="00735F4B"/>
    <w:rsid w:val="007403B9"/>
    <w:rsid w:val="0082464B"/>
    <w:rsid w:val="00AD073A"/>
    <w:rsid w:val="00C0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2995"/>
  <w15:chartTrackingRefBased/>
  <w15:docId w15:val="{CA6E8F6D-E0C9-4CB0-8630-C7ACA95A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9</cp:revision>
  <dcterms:created xsi:type="dcterms:W3CDTF">2025-11-17T03:48:00Z</dcterms:created>
  <dcterms:modified xsi:type="dcterms:W3CDTF">2025-11-17T04:12:00Z</dcterms:modified>
</cp:coreProperties>
</file>