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8B1F"/>
          <w:sz w:val="30"/>
        </w:rPr>
        <w:t>PANDUAN PRAKTIKUM</w:t>
        <w:br/>
      </w:r>
      <w:r>
        <w:rPr>
          <w:b/>
          <w:color w:val="173B69"/>
          <w:sz w:val="54"/>
        </w:rPr>
        <w:t>Keamanan Dasar Aplikasi Web</w:t>
      </w:r>
    </w:p>
    <w:p>
      <w:pPr>
        <w:jc w:val="center"/>
      </w:pPr>
      <w:r>
        <w:rPr>
          <w:sz w:val="28"/>
        </w:rPr>
        <w:t>SQL Injection, XSS, Validasi Input Server-side, Sanitasi, dan Escape HTML</w:t>
      </w:r>
    </w:p>
    <w:p>
      <w:pPr>
        <w:jc w:val="center"/>
      </w:pPr>
      <w:r>
        <w:t>CPMK53 · Studi kasus: Asisten AI untuk UMKM · Nilai: Amanah</w:t>
      </w:r>
    </w:p>
    <w:tbl>
      <w:tblPr>
        <w:tblStyle w:val="TableGrid"/>
        <w:tblW w:type="auto" w:w="0"/>
        <w:jc w:val="center"/>
        <w:tblLook w:firstColumn="1" w:firstRow="1" w:lastColumn="0" w:lastRow="0" w:noHBand="0" w:noVBand="1" w:val="04A0"/>
      </w:tblPr>
      <w:tblGrid>
        <w:gridCol w:w="4968"/>
        <w:gridCol w:w="4968"/>
      </w:tblGrid>
      <w:tr>
        <w:tc>
          <w:tcPr>
            <w:tcW w:type="dxa" w:w="4968"/>
            <w:shd w:fill="DCE8F5"/>
            <w:vAlign w:val="center"/>
          </w:tcPr>
          <w:p>
            <w:r>
              <w:t>Alokasi</w:t>
            </w:r>
          </w:p>
        </w:tc>
        <w:tc>
          <w:tcPr>
            <w:tcW w:type="dxa" w:w="4968"/>
          </w:tcPr>
          <w:p>
            <w:r>
              <w:t>1 pertemuan / 150 menit</w:t>
            </w:r>
          </w:p>
        </w:tc>
      </w:tr>
      <w:tr>
        <w:tc>
          <w:tcPr>
            <w:tcW w:type="dxa" w:w="4968"/>
            <w:shd w:fill="DCE8F5"/>
            <w:vAlign w:val="center"/>
          </w:tcPr>
          <w:p>
            <w:r>
              <w:t>Model</w:t>
            </w:r>
          </w:p>
        </w:tc>
        <w:tc>
          <w:tcPr>
            <w:tcW w:type="dxa" w:w="4968"/>
          </w:tcPr>
          <w:p>
            <w:r>
              <w:t>Briefing → guided lab → hardening → pengujian → refleksi</w:t>
            </w:r>
          </w:p>
        </w:tc>
      </w:tr>
      <w:tr>
        <w:tc>
          <w:tcPr>
            <w:tcW w:type="dxa" w:w="4968"/>
            <w:shd w:fill="DCE8F5"/>
            <w:vAlign w:val="center"/>
          </w:tcPr>
          <w:p>
            <w:r>
              <w:t>Luaran</w:t>
            </w:r>
          </w:p>
        </w:tc>
        <w:tc>
          <w:tcPr>
            <w:tcW w:type="dxa" w:w="4968"/>
          </w:tcPr>
          <w:p>
            <w:r>
              <w:t>Source aman, tabel uji negatif, laporan, dan commit</w:t>
            </w:r>
          </w:p>
        </w:tc>
      </w:tr>
      <w:tr>
        <w:tc>
          <w:tcPr>
            <w:tcW w:type="dxa" w:w="4968"/>
            <w:shd w:fill="DCE8F5"/>
            <w:vAlign w:val="center"/>
          </w:tcPr>
          <w:p>
            <w:r>
              <w:t>Batas etis</w:t>
            </w:r>
          </w:p>
        </w:tc>
        <w:tc>
          <w:tcPr>
            <w:tcW w:type="dxa" w:w="4968"/>
          </w:tcPr>
          <w:p>
            <w:r>
              <w:t>Hanya localhost/sistem yang memberi izin tertulis</w:t>
            </w:r>
          </w:p>
        </w:tc>
      </w:tr>
    </w:tbl>
    <w:p>
      <w:r>
        <w:br w:type="page"/>
      </w:r>
    </w:p>
    <w:p>
      <w:pPr>
        <w:pStyle w:val="Heading1"/>
        <w:keepNext/>
      </w:pPr>
      <w:r>
        <w:t>1. Capaian dan Indikator</w:t>
      </w:r>
    </w:p>
    <w:p>
      <w:r>
        <w:t>Mahasiswa mampu menerapkan prinsip keamanan dasar aplikasi web sebagai wujud Amanah dengan menjaga pemisahan data dan perintah, memvalidasi input di server, serta memastikan output tidak tepercaya tidak dieksekusi sebagai kode.</w:t>
      </w:r>
    </w:p>
    <w:p>
      <w:pPr>
        <w:pStyle w:val="ListBullet"/>
      </w:pPr>
      <w:r>
        <w:t>Mengidentifikasi trust boundary dan sumber input tidak tepercaya.</w:t>
      </w:r>
    </w:p>
    <w:p>
      <w:pPr>
        <w:pStyle w:val="ListBullet"/>
      </w:pPr>
      <w:r>
        <w:t>Membedakan validasi, sanitasi, escape/output encoding, dan parameterization.</w:t>
      </w:r>
    </w:p>
    <w:p>
      <w:pPr>
        <w:pStyle w:val="ListBullet"/>
      </w:pPr>
      <w:r>
        <w:t>Memperbaiki query berisiko menjadi parameterized query.</w:t>
      </w:r>
    </w:p>
    <w:p>
      <w:pPr>
        <w:pStyle w:val="ListBullet"/>
      </w:pPr>
      <w:r>
        <w:t>Memperbaiki reflected, stored, dan DOM XSS menggunakan kontrol sesuai konteks.</w:t>
      </w:r>
    </w:p>
    <w:p>
      <w:pPr>
        <w:pStyle w:val="ListBullet"/>
      </w:pPr>
      <w:r>
        <w:t>Menyusun pengujian negatif dan menjelaskan bukti efektivitas kontrol.</w:t>
      </w:r>
    </w:p>
    <w:p>
      <w:pPr>
        <w:pStyle w:val="Heading1"/>
        <w:keepNext/>
      </w:pPr>
      <w:r>
        <w:t>2. Peta Konsep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14A7B"/>
          </w:tcPr>
          <w:p>
            <w:r>
              <w:t>Kontrol</w:t>
            </w:r>
          </w:p>
        </w:tc>
        <w:tc>
          <w:tcPr>
            <w:tcW w:type="dxa" w:w="2484"/>
            <w:shd w:fill="214A7B"/>
          </w:tcPr>
          <w:p>
            <w:r>
              <w:t>Tujuan</w:t>
            </w:r>
          </w:p>
        </w:tc>
        <w:tc>
          <w:tcPr>
            <w:tcW w:type="dxa" w:w="2484"/>
            <w:shd w:fill="214A7B"/>
          </w:tcPr>
          <w:p>
            <w:r>
              <w:t>Tempat</w:t>
            </w:r>
          </w:p>
        </w:tc>
        <w:tc>
          <w:tcPr>
            <w:tcW w:type="dxa" w:w="2484"/>
            <w:shd w:fill="214A7B"/>
          </w:tcPr>
          <w:p>
            <w:r>
              <w:t>Contoh</w:t>
            </w:r>
          </w:p>
        </w:tc>
      </w:tr>
      <w:tr>
        <w:tc>
          <w:tcPr>
            <w:tcW w:type="dxa" w:w="2484"/>
          </w:tcPr>
          <w:p>
            <w:r>
              <w:t>Validasi</w:t>
            </w:r>
          </w:p>
        </w:tc>
        <w:tc>
          <w:tcPr>
            <w:tcW w:type="dxa" w:w="2484"/>
          </w:tcPr>
          <w:p>
            <w:r>
              <w:t>Memastikan data sesuai kontrak</w:t>
            </w:r>
          </w:p>
        </w:tc>
        <w:tc>
          <w:tcPr>
            <w:tcW w:type="dxa" w:w="2484"/>
          </w:tcPr>
          <w:p>
            <w:r>
              <w:t>Server</w:t>
            </w:r>
          </w:p>
        </w:tc>
        <w:tc>
          <w:tcPr>
            <w:tcW w:type="dxa" w:w="2484"/>
          </w:tcPr>
          <w:p>
            <w:r>
              <w:t>Tipe, panjang, format, rentang</w:t>
            </w:r>
          </w:p>
        </w:tc>
      </w:tr>
      <w:tr>
        <w:tc>
          <w:tcPr>
            <w:tcW w:type="dxa" w:w="2484"/>
          </w:tcPr>
          <w:p>
            <w:r>
              <w:t>Parameterized query</w:t>
            </w:r>
          </w:p>
        </w:tc>
        <w:tc>
          <w:tcPr>
            <w:tcW w:type="dxa" w:w="2484"/>
          </w:tcPr>
          <w:p>
            <w:r>
              <w:t>Memisahkan data dari SQL</w:t>
            </w:r>
          </w:p>
        </w:tc>
        <w:tc>
          <w:tcPr>
            <w:tcW w:type="dxa" w:w="2484"/>
          </w:tcPr>
          <w:p>
            <w:r>
              <w:t>Akses database</w:t>
            </w:r>
          </w:p>
        </w:tc>
        <w:tc>
          <w:tcPr>
            <w:tcW w:type="dxa" w:w="2484"/>
          </w:tcPr>
          <w:p>
            <w:r>
              <w:t>execute(sql, values)</w:t>
            </w:r>
          </w:p>
        </w:tc>
      </w:tr>
      <w:tr>
        <w:tc>
          <w:tcPr>
            <w:tcW w:type="dxa" w:w="2484"/>
          </w:tcPr>
          <w:p>
            <w:r>
              <w:t>Escape/safe sink</w:t>
            </w:r>
          </w:p>
        </w:tc>
        <w:tc>
          <w:tcPr>
            <w:tcW w:type="dxa" w:w="2484"/>
          </w:tcPr>
          <w:p>
            <w:r>
              <w:t>Menampilkan data sebagai teks</w:t>
            </w:r>
          </w:p>
        </w:tc>
        <w:tc>
          <w:tcPr>
            <w:tcW w:type="dxa" w:w="2484"/>
          </w:tcPr>
          <w:p>
            <w:r>
              <w:t>Output/DOM</w:t>
            </w:r>
          </w:p>
        </w:tc>
        <w:tc>
          <w:tcPr>
            <w:tcW w:type="dxa" w:w="2484"/>
          </w:tcPr>
          <w:p>
            <w:r>
              <w:t>textContent, entity encoding</w:t>
            </w:r>
          </w:p>
        </w:tc>
      </w:tr>
      <w:tr>
        <w:tc>
          <w:tcPr>
            <w:tcW w:type="dxa" w:w="2484"/>
          </w:tcPr>
          <w:p>
            <w:r>
              <w:t>Sanitasi</w:t>
            </w:r>
          </w:p>
        </w:tc>
        <w:tc>
          <w:tcPr>
            <w:tcW w:type="dxa" w:w="2484"/>
          </w:tcPr>
          <w:p>
            <w:r>
              <w:t>Membatasi markup yang diizinkan</w:t>
            </w:r>
          </w:p>
        </w:tc>
        <w:tc>
          <w:tcPr>
            <w:tcW w:type="dxa" w:w="2484"/>
          </w:tcPr>
          <w:p>
            <w:r>
              <w:t>Saat HTML memang dibutuhkan</w:t>
            </w:r>
          </w:p>
        </w:tc>
        <w:tc>
          <w:tcPr>
            <w:tcW w:type="dxa" w:w="2484"/>
          </w:tcPr>
          <w:p>
            <w:r>
              <w:t>Allowlist sanitizer</w:t>
            </w:r>
          </w:p>
        </w:tc>
      </w:tr>
    </w:tbl>
    <w:p>
      <w:pPr>
        <w:pStyle w:val="Heading1"/>
        <w:keepNext/>
      </w:pPr>
      <w:r>
        <w:t>3. Alur Waktu Pembelajaran</w:t>
      </w:r>
    </w:p>
    <w:p>
      <w:pPr>
        <w:pStyle w:val="ListNumber"/>
      </w:pPr>
      <w:r>
        <w:t>0–15 menit — Apersepsi Amanah, tujuan, batas etis, dan threat model.</w:t>
      </w:r>
    </w:p>
    <w:p>
      <w:pPr>
        <w:pStyle w:val="ListNumber"/>
      </w:pPr>
      <w:r>
        <w:t>15–35 menit — Demo konseptual: input tidak tepercaya melewati trust boundary.</w:t>
      </w:r>
    </w:p>
    <w:p>
      <w:pPr>
        <w:pStyle w:val="ListNumber"/>
      </w:pPr>
      <w:r>
        <w:t>35–65 menit — Lab 1: validasi server-side dan respons error 400/422.</w:t>
      </w:r>
    </w:p>
    <w:p>
      <w:pPr>
        <w:pStyle w:val="ListNumber"/>
      </w:pPr>
      <w:r>
        <w:t>65–95 menit — Lab 2: parameterized query untuk mencegah SQL Injection.</w:t>
      </w:r>
    </w:p>
    <w:p>
      <w:pPr>
        <w:pStyle w:val="ListNumber"/>
      </w:pPr>
      <w:r>
        <w:t>95–120 menit — Lab 3: XSS, safe DOM sink, escape, dan sanitasi.</w:t>
      </w:r>
    </w:p>
    <w:p>
      <w:pPr>
        <w:pStyle w:val="ListNumber"/>
      </w:pPr>
      <w:r>
        <w:t>120–140 menit — Pengujian negatif dan secure code review berpasangan.</w:t>
      </w:r>
    </w:p>
    <w:p>
      <w:pPr>
        <w:pStyle w:val="ListNumber"/>
      </w:pPr>
      <w:r>
        <w:t>140–150 menit — Refleksi Amanah, exit ticket, dan pengantar tugas.</w:t>
      </w:r>
    </w:p>
    <w:p>
      <w:pPr>
        <w:pStyle w:val="Heading1"/>
        <w:keepNext/>
      </w:pPr>
      <w:r>
        <w:t>4. Prasyarat dan Persiapan</w:t>
      </w:r>
    </w:p>
    <w:p>
      <w:pPr>
        <w:pStyle w:val="ListBullet"/>
      </w:pPr>
      <w:r>
        <w:t>Node.js 20+ dan npm</w:t>
      </w:r>
    </w:p>
    <w:p>
      <w:pPr>
        <w:pStyle w:val="ListBullet"/>
      </w:pPr>
      <w:r>
        <w:t>MySQL 8+</w:t>
      </w:r>
    </w:p>
    <w:p>
      <w:pPr>
        <w:pStyle w:val="ListBullet"/>
      </w:pPr>
      <w:r>
        <w:t>Postman/Insomnia atau curl</w:t>
      </w:r>
    </w:p>
    <w:p>
      <w:pPr>
        <w:pStyle w:val="ListBullet"/>
      </w:pPr>
      <w:r>
        <w:t>Editor kode dan browser modern</w:t>
      </w:r>
    </w:p>
    <w:p>
      <w:pPr>
        <w:pStyle w:val="ListBullet"/>
      </w:pPr>
      <w:r>
        <w:t>Materi pertemuan 9 (CRUD), 10 (API/LLM), dan 11 (dynamic rendering)</w:t>
      </w:r>
    </w:p>
    <w:p>
      <w:pPr>
        <w:pStyle w:val="IntenseQuote"/>
      </w:pPr>
      <w:r>
        <w:t>Salin `.env.example` menjadi `.env`. Jangan pernah mengunggah `.env`, token API, password database, atau data pengguna nyata.</w:t>
      </w:r>
    </w:p>
    <w:p>
      <w:r>
        <w:br w:type="page"/>
      </w:r>
    </w:p>
    <w:p>
      <w:pPr>
        <w:pStyle w:val="Heading1"/>
        <w:keepNext/>
      </w:pPr>
      <w:r>
        <w:t>5. Praktikum Terpandu</w:t>
      </w:r>
    </w:p>
    <w:p>
      <w:pPr>
        <w:pStyle w:val="Heading2"/>
        <w:keepNext/>
      </w:pPr>
      <w:r>
        <w:t>5.1 Menjalankan proyek</w:t>
      </w:r>
    </w:p>
    <w:p>
      <w:r>
        <w:t>Jalankan schema, kemudian `npm install` dan `npm run dev`. Buka http://localhost:3000. Pastikan produk dapat ditambah dan dicari.</w:t>
      </w:r>
    </w:p>
    <w:p>
      <w:pPr>
        <w:pStyle w:val="Heading2"/>
        <w:keepNext/>
      </w:pPr>
      <w:r>
        <w:t>5.2 Memetakan input tidak tepercaya</w:t>
      </w:r>
    </w:p>
    <w:p>
      <w:r>
        <w:t>Tandai `req.body`, `req.query`, data database, dan output API/LLM sebagai tidak tepercaya sampai dikontrol sesuai tujuan penggunaannya. Catat sumber → proses → sink.</w:t>
      </w:r>
    </w:p>
    <w:p>
      <w:pPr>
        <w:pStyle w:val="Heading2"/>
        <w:keepNext/>
      </w:pPr>
      <w:r>
        <w:t>5.3 Validasi server-side</w:t>
      </w:r>
    </w:p>
    <w:p>
      <w:r>
        <w:t>Periksa tipe, panjang, format, rentang, dan aturan bisnis. Validasi browser membantu UX tetapi dapat dilewati, sehingga server harus menjadi otoritas. Gunakan status 400 untuk request tidak terbaca dan 422 untuk data yang tidak memenuhi kontrak.</w:t>
      </w:r>
    </w:p>
    <w:p>
      <w:pPr>
        <w:pStyle w:val="Heading2"/>
        <w:keepNext/>
      </w:pPr>
      <w:r>
        <w:t>5.4 Parameterized query</w:t>
      </w:r>
    </w:p>
    <w:p>
      <w:r>
        <w:t>Jangan menyusun SQL dengan concatenation atau template literal berisi input. Gunakan SQL tetap dengan placeholder dan kirim nilai pada parameter terpisah:</w:t>
      </w:r>
    </w:p>
    <w:p>
      <w:pPr>
        <w:pStyle w:val="IntenseQuote"/>
      </w:pPr>
      <w:r>
        <w:t>const [rows] = await pool.execute(</w:t>
        <w:br/>
        <w:t xml:space="preserve">  'SELECT * FROM produk WHERE nama LIKE ?',</w:t>
        <w:br/>
        <w:t xml:space="preserve">  [`%${q}%`]</w:t>
        <w:br/>
        <w:t>);</w:t>
      </w:r>
    </w:p>
    <w:p>
      <w:r>
        <w:t>Parameterized query adalah kontrol utama SQL Injection; validasi tetap diperlukan untuk aturan bisnis, bukan sebagai pengganti parameterization.</w:t>
      </w:r>
    </w:p>
    <w:p>
      <w:pPr>
        <w:pStyle w:val="Heading2"/>
        <w:keepNext/>
      </w:pPr>
      <w:r>
        <w:t>5.5 Mencegah XSS</w:t>
      </w:r>
    </w:p>
    <w:p>
      <w:r>
        <w:t>Untuk teks biasa, gunakan `textContent`. Hindari `innerHTML` untuk data pengguna, database, API eksternal, maupun output LLM. Output encoding harus sesuai konteks HTML, atribut, URL, CSS, atau JavaScript. Jika pengguna memang boleh menulis sebagian HTML, gunakan sanitizer tepercaya dengan allowlist yang sempit.</w:t>
      </w:r>
    </w:p>
    <w:p>
      <w:pPr>
        <w:pStyle w:val="Heading2"/>
        <w:keepNext/>
      </w:pPr>
      <w:r>
        <w:t>5.6 Defense in depth</w:t>
      </w:r>
    </w:p>
    <w:p>
      <w:r>
        <w:t>Aktifkan Helmet/CSP, batas ukuran body, rate limit, logging tanpa rahasia, serta error handler yang tidak mengirim stack trace atau query SQL ke klien. Kontrol tambahan tidak menggantikan parameterized query atau safe output handling.</w:t>
      </w:r>
    </w:p>
    <w:p>
      <w:pPr>
        <w:pStyle w:val="Heading1"/>
        <w:keepNext/>
      </w:pPr>
      <w:r>
        <w:t>6. Matriks Pengujian Negatif</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214A7B"/>
          </w:tcPr>
          <w:p>
            <w:r>
              <w:t>No</w:t>
            </w:r>
          </w:p>
        </w:tc>
        <w:tc>
          <w:tcPr>
            <w:tcW w:type="dxa" w:w="1987"/>
            <w:shd w:fill="214A7B"/>
          </w:tcPr>
          <w:p>
            <w:r>
              <w:t>Kasus</w:t>
            </w:r>
          </w:p>
        </w:tc>
        <w:tc>
          <w:tcPr>
            <w:tcW w:type="dxa" w:w="1987"/>
            <w:shd w:fill="214A7B"/>
          </w:tcPr>
          <w:p>
            <w:r>
              <w:t>Input uji lokal</w:t>
            </w:r>
          </w:p>
        </w:tc>
        <w:tc>
          <w:tcPr>
            <w:tcW w:type="dxa" w:w="1987"/>
            <w:shd w:fill="214A7B"/>
          </w:tcPr>
          <w:p>
            <w:r>
              <w:t>Harapan</w:t>
            </w:r>
          </w:p>
        </w:tc>
        <w:tc>
          <w:tcPr>
            <w:tcW w:type="dxa" w:w="1987"/>
            <w:shd w:fill="214A7B"/>
          </w:tcPr>
          <w:p>
            <w:r>
              <w:t>Kontrol</w:t>
            </w:r>
          </w:p>
        </w:tc>
      </w:tr>
      <w:tr>
        <w:tc>
          <w:tcPr>
            <w:tcW w:type="dxa" w:w="1987"/>
          </w:tcPr>
          <w:p>
            <w:r>
              <w:t>1</w:t>
            </w:r>
          </w:p>
        </w:tc>
        <w:tc>
          <w:tcPr>
            <w:tcW w:type="dxa" w:w="1987"/>
          </w:tcPr>
          <w:p>
            <w:r>
              <w:t>Nama kosong</w:t>
            </w:r>
          </w:p>
        </w:tc>
        <w:tc>
          <w:tcPr>
            <w:tcW w:type="dxa" w:w="1987"/>
          </w:tcPr>
          <w:p>
            <w:r>
              <w:t>""</w:t>
            </w:r>
          </w:p>
        </w:tc>
        <w:tc>
          <w:tcPr>
            <w:tcW w:type="dxa" w:w="1987"/>
          </w:tcPr>
          <w:p>
            <w:r>
              <w:t>422</w:t>
            </w:r>
          </w:p>
        </w:tc>
        <w:tc>
          <w:tcPr>
            <w:tcW w:type="dxa" w:w="1987"/>
          </w:tcPr>
          <w:p>
            <w:r>
              <w:t>Validasi</w:t>
            </w:r>
          </w:p>
        </w:tc>
      </w:tr>
      <w:tr>
        <w:tc>
          <w:tcPr>
            <w:tcW w:type="dxa" w:w="1987"/>
          </w:tcPr>
          <w:p>
            <w:r>
              <w:t>2</w:t>
            </w:r>
          </w:p>
        </w:tc>
        <w:tc>
          <w:tcPr>
            <w:tcW w:type="dxa" w:w="1987"/>
          </w:tcPr>
          <w:p>
            <w:r>
              <w:t>Harga teks</w:t>
            </w:r>
          </w:p>
        </w:tc>
        <w:tc>
          <w:tcPr>
            <w:tcW w:type="dxa" w:w="1987"/>
          </w:tcPr>
          <w:p>
            <w:r>
              <w:t>"murah"</w:t>
            </w:r>
          </w:p>
        </w:tc>
        <w:tc>
          <w:tcPr>
            <w:tcW w:type="dxa" w:w="1987"/>
          </w:tcPr>
          <w:p>
            <w:r>
              <w:t>422</w:t>
            </w:r>
          </w:p>
        </w:tc>
        <w:tc>
          <w:tcPr>
            <w:tcW w:type="dxa" w:w="1987"/>
          </w:tcPr>
          <w:p>
            <w:r>
              <w:t>Validasi</w:t>
            </w:r>
          </w:p>
        </w:tc>
      </w:tr>
      <w:tr>
        <w:tc>
          <w:tcPr>
            <w:tcW w:type="dxa" w:w="1987"/>
          </w:tcPr>
          <w:p>
            <w:r>
              <w:t>3</w:t>
            </w:r>
          </w:p>
        </w:tc>
        <w:tc>
          <w:tcPr>
            <w:tcW w:type="dxa" w:w="1987"/>
          </w:tcPr>
          <w:p>
            <w:r>
              <w:t>Input sangat panjang</w:t>
            </w:r>
          </w:p>
        </w:tc>
        <w:tc>
          <w:tcPr>
            <w:tcW w:type="dxa" w:w="1987"/>
          </w:tcPr>
          <w:p>
            <w:r>
              <w:t>&gt; batas field</w:t>
            </w:r>
          </w:p>
        </w:tc>
        <w:tc>
          <w:tcPr>
            <w:tcW w:type="dxa" w:w="1987"/>
          </w:tcPr>
          <w:p>
            <w:r>
              <w:t>422</w:t>
            </w:r>
          </w:p>
        </w:tc>
        <w:tc>
          <w:tcPr>
            <w:tcW w:type="dxa" w:w="1987"/>
          </w:tcPr>
          <w:p>
            <w:r>
              <w:t>Validasi</w:t>
            </w:r>
          </w:p>
        </w:tc>
      </w:tr>
      <w:tr>
        <w:tc>
          <w:tcPr>
            <w:tcW w:type="dxa" w:w="1987"/>
          </w:tcPr>
          <w:p>
            <w:r>
              <w:t>4</w:t>
            </w:r>
          </w:p>
        </w:tc>
        <w:tc>
          <w:tcPr>
            <w:tcW w:type="dxa" w:w="1987"/>
          </w:tcPr>
          <w:p>
            <w:r>
              <w:t>Pola SQLi</w:t>
            </w:r>
          </w:p>
        </w:tc>
        <w:tc>
          <w:tcPr>
            <w:tcW w:type="dxa" w:w="1987"/>
          </w:tcPr>
          <w:p>
            <w:r>
              <w:t>apostrof + ekspresi boolean</w:t>
            </w:r>
          </w:p>
        </w:tc>
        <w:tc>
          <w:tcPr>
            <w:tcW w:type="dxa" w:w="1987"/>
          </w:tcPr>
          <w:p>
            <w:r>
              <w:t>Tidak mengubah struktur query</w:t>
            </w:r>
          </w:p>
        </w:tc>
        <w:tc>
          <w:tcPr>
            <w:tcW w:type="dxa" w:w="1987"/>
          </w:tcPr>
          <w:p>
            <w:r>
              <w:t>Parameterization</w:t>
            </w:r>
          </w:p>
        </w:tc>
      </w:tr>
      <w:tr>
        <w:tc>
          <w:tcPr>
            <w:tcW w:type="dxa" w:w="1987"/>
          </w:tcPr>
          <w:p>
            <w:r>
              <w:t>5</w:t>
            </w:r>
          </w:p>
        </w:tc>
        <w:tc>
          <w:tcPr>
            <w:tcW w:type="dxa" w:w="1987"/>
          </w:tcPr>
          <w:p>
            <w:r>
              <w:t>Pola stored XSS</w:t>
            </w:r>
          </w:p>
        </w:tc>
        <w:tc>
          <w:tcPr>
            <w:tcW w:type="dxa" w:w="1987"/>
          </w:tcPr>
          <w:p>
            <w:r>
              <w:t>tag/atribut event inert</w:t>
            </w:r>
          </w:p>
        </w:tc>
        <w:tc>
          <w:tcPr>
            <w:tcW w:type="dxa" w:w="1987"/>
          </w:tcPr>
          <w:p>
            <w:r>
              <w:t>Tampil sebagai teks</w:t>
            </w:r>
          </w:p>
        </w:tc>
        <w:tc>
          <w:tcPr>
            <w:tcW w:type="dxa" w:w="1987"/>
          </w:tcPr>
          <w:p>
            <w:r>
              <w:t>textContent</w:t>
            </w:r>
          </w:p>
        </w:tc>
      </w:tr>
      <w:tr>
        <w:tc>
          <w:tcPr>
            <w:tcW w:type="dxa" w:w="1987"/>
          </w:tcPr>
          <w:p>
            <w:r>
              <w:t>6</w:t>
            </w:r>
          </w:p>
        </w:tc>
        <w:tc>
          <w:tcPr>
            <w:tcW w:type="dxa" w:w="1987"/>
          </w:tcPr>
          <w:p>
            <w:r>
              <w:t>Reflected XSS</w:t>
            </w:r>
          </w:p>
        </w:tc>
        <w:tc>
          <w:tcPr>
            <w:tcW w:type="dxa" w:w="1987"/>
          </w:tcPr>
          <w:p>
            <w:r>
              <w:t>markup pada parameter q</w:t>
            </w:r>
          </w:p>
        </w:tc>
        <w:tc>
          <w:tcPr>
            <w:tcW w:type="dxa" w:w="1987"/>
          </w:tcPr>
          <w:p>
            <w:r>
              <w:t>Tidak dieksekusi</w:t>
            </w:r>
          </w:p>
        </w:tc>
        <w:tc>
          <w:tcPr>
            <w:tcW w:type="dxa" w:w="1987"/>
          </w:tcPr>
          <w:p>
            <w:r>
              <w:t>Encoding/safe sink</w:t>
            </w:r>
          </w:p>
        </w:tc>
      </w:tr>
      <w:tr>
        <w:tc>
          <w:tcPr>
            <w:tcW w:type="dxa" w:w="1987"/>
          </w:tcPr>
          <w:p>
            <w:r>
              <w:t>7</w:t>
            </w:r>
          </w:p>
        </w:tc>
        <w:tc>
          <w:tcPr>
            <w:tcW w:type="dxa" w:w="1987"/>
          </w:tcPr>
          <w:p>
            <w:r>
              <w:t>DOM XSS</w:t>
            </w:r>
          </w:p>
        </w:tc>
        <w:tc>
          <w:tcPr>
            <w:tcW w:type="dxa" w:w="1987"/>
          </w:tcPr>
          <w:p>
            <w:r>
              <w:t>markup dari URL/input</w:t>
            </w:r>
          </w:p>
        </w:tc>
        <w:tc>
          <w:tcPr>
            <w:tcW w:type="dxa" w:w="1987"/>
          </w:tcPr>
          <w:p>
            <w:r>
              <w:t>Tidak dieksekusi</w:t>
            </w:r>
          </w:p>
        </w:tc>
        <w:tc>
          <w:tcPr>
            <w:tcW w:type="dxa" w:w="1987"/>
          </w:tcPr>
          <w:p>
            <w:r>
              <w:t>Safe sink</w:t>
            </w:r>
          </w:p>
        </w:tc>
      </w:tr>
      <w:tr>
        <w:tc>
          <w:tcPr>
            <w:tcW w:type="dxa" w:w="1987"/>
          </w:tcPr>
          <w:p>
            <w:r>
              <w:t>8</w:t>
            </w:r>
          </w:p>
        </w:tc>
        <w:tc>
          <w:tcPr>
            <w:tcW w:type="dxa" w:w="1987"/>
          </w:tcPr>
          <w:p>
            <w:r>
              <w:t>JSON rusak</w:t>
            </w:r>
          </w:p>
        </w:tc>
        <w:tc>
          <w:tcPr>
            <w:tcW w:type="dxa" w:w="1987"/>
          </w:tcPr>
          <w:p>
            <w:r>
              <w:t>body bukan JSON valid</w:t>
            </w:r>
          </w:p>
        </w:tc>
        <w:tc>
          <w:tcPr>
            <w:tcW w:type="dxa" w:w="1987"/>
          </w:tcPr>
          <w:p>
            <w:r>
              <w:t>400, tanpa stack trace</w:t>
            </w:r>
          </w:p>
        </w:tc>
        <w:tc>
          <w:tcPr>
            <w:tcW w:type="dxa" w:w="1987"/>
          </w:tcPr>
          <w:p>
            <w:r>
              <w:t>Parser/error handler</w:t>
            </w:r>
          </w:p>
        </w:tc>
      </w:tr>
    </w:tbl>
    <w:p>
      <w:pPr>
        <w:pStyle w:val="Heading1"/>
        <w:keepNext/>
      </w:pPr>
      <w:r>
        <w:t>7. Secure Code Review Berpasangan</w:t>
      </w:r>
    </w:p>
    <w:p>
      <w:pPr>
        <w:pStyle w:val="ListBullet"/>
      </w:pPr>
      <w:r>
        <w:t>Cari string SQL yang menggabungkan input.</w:t>
      </w:r>
    </w:p>
    <w:p>
      <w:pPr>
        <w:pStyle w:val="ListBullet"/>
      </w:pPr>
      <w:r>
        <w:t>Cari penggunaan `innerHTML`, `insertAdjacentHTML`, atau sink berisiko lain.</w:t>
      </w:r>
    </w:p>
    <w:p>
      <w:pPr>
        <w:pStyle w:val="ListBullet"/>
      </w:pPr>
      <w:r>
        <w:t>Pastikan validasi server mengembalikan error terstruktur.</w:t>
      </w:r>
    </w:p>
    <w:p>
      <w:pPr>
        <w:pStyle w:val="ListBullet"/>
      </w:pPr>
      <w:r>
        <w:t>Pastikan error response tidak membocorkan detail internal.</w:t>
      </w:r>
    </w:p>
    <w:p>
      <w:pPr>
        <w:pStyle w:val="ListBullet"/>
      </w:pPr>
      <w:r>
        <w:t>Pastikan `.env` tidak terlacak Git.</w:t>
      </w:r>
    </w:p>
    <w:p>
      <w:pPr>
        <w:pStyle w:val="ListBullet"/>
      </w:pPr>
      <w:r>
        <w:t>Verifikasi minimal delapan pengujian negatif.</w:t>
      </w:r>
    </w:p>
    <w:p>
      <w:pPr>
        <w:pStyle w:val="Heading1"/>
        <w:keepNext/>
      </w:pPr>
      <w:r>
        <w:t>8. Tugas, Refleksi, dan Exit Ticket</w:t>
      </w:r>
    </w:p>
    <w:p>
      <w:r>
        <w:t>Tugas lengkap berada pada folder `tugas`. Exit ticket dijawab singkat: (1) mengapa validasi tidak menggantikan parameterized query? (2) kapan `textContent` lebih tepat daripada sanitasi HTML? (3) bagaimana penerapan ini mencerminkan Amanah?</w:t>
      </w:r>
    </w:p>
    <w:p>
      <w:r>
        <w:br w:type="page"/>
      </w:r>
    </w:p>
    <w:p>
      <w:pPr>
        <w:pStyle w:val="Heading1"/>
        <w:keepNext/>
      </w:pPr>
      <w:r>
        <w:t>9. Troubleshooting</w:t>
      </w:r>
    </w:p>
    <w:tbl>
      <w:tblPr>
        <w:tblStyle w:val="TableGrid"/>
        <w:tblW w:type="auto" w:w="0"/>
        <w:tblLook w:firstColumn="1" w:firstRow="1" w:lastColumn="0" w:lastRow="0" w:noHBand="0" w:noVBand="1" w:val="04A0"/>
      </w:tblPr>
      <w:tblGrid>
        <w:gridCol w:w="4968"/>
        <w:gridCol w:w="4968"/>
      </w:tblGrid>
      <w:tr>
        <w:tc>
          <w:tcPr>
            <w:tcW w:type="dxa" w:w="4968"/>
            <w:shd w:fill="214A7B"/>
          </w:tcPr>
          <w:p>
            <w:r>
              <w:t>Gejala</w:t>
            </w:r>
          </w:p>
        </w:tc>
        <w:tc>
          <w:tcPr>
            <w:tcW w:type="dxa" w:w="4968"/>
            <w:shd w:fill="214A7B"/>
          </w:tcPr>
          <w:p>
            <w:r>
              <w:t>Tindakan</w:t>
            </w:r>
          </w:p>
        </w:tc>
      </w:tr>
      <w:tr>
        <w:tc>
          <w:tcPr>
            <w:tcW w:type="dxa" w:w="4968"/>
          </w:tcPr>
          <w:p>
            <w:r>
              <w:t>Database belum terkoneksi</w:t>
            </w:r>
          </w:p>
        </w:tc>
        <w:tc>
          <w:tcPr>
            <w:tcW w:type="dxa" w:w="4968"/>
          </w:tcPr>
          <w:p>
            <w:r>
              <w:t>Periksa DB_HOST, DB_USER, DB_PASSWORD, DB_NAME dan jalankan schema.</w:t>
            </w:r>
          </w:p>
        </w:tc>
      </w:tr>
      <w:tr>
        <w:tc>
          <w:tcPr>
            <w:tcW w:type="dxa" w:w="4968"/>
          </w:tcPr>
          <w:p>
            <w:r>
              <w:t>CSP memblokir script</w:t>
            </w:r>
          </w:p>
        </w:tc>
        <w:tc>
          <w:tcPr>
            <w:tcW w:type="dxa" w:w="4968"/>
          </w:tcPr>
          <w:p>
            <w:r>
              <w:t>Pastikan JavaScript dimuat dari file lokal, bukan inline.</w:t>
            </w:r>
          </w:p>
        </w:tc>
      </w:tr>
      <w:tr>
        <w:tc>
          <w:tcPr>
            <w:tcW w:type="dxa" w:w="4968"/>
          </w:tcPr>
          <w:p>
            <w:r>
              <w:t>Validasi selalu gagal</w:t>
            </w:r>
          </w:p>
        </w:tc>
        <w:tc>
          <w:tcPr>
            <w:tcW w:type="dxa" w:w="4968"/>
          </w:tcPr>
          <w:p>
            <w:r>
              <w:t>Pastikan request JSON dan header Content-Type benar.</w:t>
            </w:r>
          </w:p>
        </w:tc>
      </w:tr>
      <w:tr>
        <w:tc>
          <w:tcPr>
            <w:tcW w:type="dxa" w:w="4968"/>
          </w:tcPr>
          <w:p>
            <w:r>
              <w:t>Karakter HTML berubah</w:t>
            </w:r>
          </w:p>
        </w:tc>
        <w:tc>
          <w:tcPr>
            <w:tcW w:type="dxa" w:w="4968"/>
          </w:tcPr>
          <w:p>
            <w:r>
              <w:t>Itu benar untuk escape; gunakan sanitizer hanya bila markup memang dibutuhkan.</w:t>
            </w:r>
          </w:p>
        </w:tc>
      </w:tr>
      <w:tr>
        <w:tc>
          <w:tcPr>
            <w:tcW w:type="dxa" w:w="4968"/>
          </w:tcPr>
          <w:p>
            <w:r>
              <w:t>Stack trace muncul</w:t>
            </w:r>
          </w:p>
        </w:tc>
        <w:tc>
          <w:tcPr>
            <w:tcW w:type="dxa" w:w="4968"/>
          </w:tcPr>
          <w:p>
            <w:r>
              <w:t>Pastikan NODE_ENV dan error handler tidak mengirim `err.stack` ke klien.</w:t>
            </w:r>
          </w:p>
        </w:tc>
      </w:tr>
    </w:tbl>
    <w:p>
      <w:pPr>
        <w:pStyle w:val="Heading1"/>
        <w:keepNext/>
      </w:pPr>
      <w:r>
        <w:t>10. Referensi</w:t>
      </w:r>
    </w:p>
    <w:p>
      <w:pPr>
        <w:pStyle w:val="ListBullet"/>
      </w:pPr>
      <w:r>
        <w:t>OWASP SQL Injection Prevention Cheat Sheet — https://cheatsheetseries.owasp.org/cheatsheets/SQL_Injection_Prevention_Cheat_Sheet.html</w:t>
      </w:r>
    </w:p>
    <w:p>
      <w:pPr>
        <w:pStyle w:val="ListBullet"/>
      </w:pPr>
      <w:r>
        <w:t>OWASP Cross Site Scripting Prevention Cheat Sheet — https://cheatsheetseries.owasp.org/cheatsheets/Cross_Site_Scripting_Prevention_Cheat_Sheet.html</w:t>
      </w:r>
    </w:p>
    <w:p>
      <w:pPr>
        <w:pStyle w:val="ListBullet"/>
      </w:pPr>
      <w:r>
        <w:t>OWASP Input Validation Cheat Sheet — https://cheatsheetseries.owasp.org/cheatsheets/Input_Validation_Cheat_Sheet.html</w:t>
      </w:r>
    </w:p>
    <w:p>
      <w:pPr>
        <w:pStyle w:val="ListBullet"/>
      </w:pPr>
      <w:r>
        <w:t>OWASP DOM based XSS Prevention Cheat Sheet — https://cheatsheetseries.owasp.org/cheatsheets/DOM_based_XSS_Prevention_Cheat_Sheet.html</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Program Studi Teknologi Informasi UMY · Praktikum defensif dan beretika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TI-501 · Pengembangan Aplikasi Web · Pertemuan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A4D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