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82B49"/>
          <w:sz w:val="36"/>
        </w:rPr>
        <w:t>ASRORQULOV FARRUHJON</w:t>
      </w:r>
    </w:p>
    <w:p>
      <w:pPr>
        <w:spacing w:before="0" w:after="60"/>
        <w:jc w:val="center"/>
      </w:pPr>
      <w:r>
        <w:rPr>
          <w:rFonts w:ascii="Calibri" w:hAnsi="Calibri"/>
          <w:b/>
          <w:color w:val="006699"/>
          <w:sz w:val="23"/>
        </w:rPr>
        <w:t>Data Analyst | Специалист по BI и отчетности</w:t>
      </w:r>
    </w:p>
    <w:p>
      <w:pPr>
        <w:spacing w:before="0" w:after="100"/>
        <w:jc w:val="center"/>
      </w:pPr>
      <w:r>
        <w:rPr>
          <w:rFonts w:ascii="Calibri" w:hAnsi="Calibri"/>
          <w:color w:val="46505F"/>
          <w:sz w:val="19"/>
        </w:rPr>
        <w:t>Ташкент, Узбекистан  •  +998 93 814 10 03  •  farrukh.analytics.jr@gmail.com  •  Telegram: @asrorqulov_f</w:t>
        <w:br/>
        <w:t>GitHub  •  LinkedIn  •  Portfolio Hub</w:t>
      </w:r>
    </w:p>
    <w:p>
      <w:pPr>
        <w:keepNext/>
        <w:spacing w:before="160" w:after="50"/>
        <w:pBdr>
          <w:bottom w:val="single" w:sz="8" w:space="2" w:color="182B49"/>
        </w:pBdr>
      </w:pPr>
      <w:r>
        <w:rPr>
          <w:rFonts w:ascii="Calibri" w:hAnsi="Calibri"/>
          <w:b/>
          <w:color w:val="182B49"/>
          <w:sz w:val="22"/>
        </w:rPr>
        <w:t>ПРОФЕССИОНАЛЬНЫЙ ПРОФИЛЬ</w:t>
      </w:r>
    </w:p>
    <w:p>
      <w:pPr>
        <w:spacing w:before="30" w:after="60" w:line="276" w:lineRule="auto"/>
      </w:pPr>
      <w:r>
        <w:rPr>
          <w:rFonts w:ascii="Calibri" w:hAnsi="Calibri"/>
          <w:color w:val="282828"/>
          <w:sz w:val="19"/>
        </w:rPr>
        <w:t>Результативный Data Analyst с опытом в разработке сквозных решений Business Intelligence (BI), автоматизации ETL-конвейеров и интерактивных дашбордов для топ-менеджмента. Эксперт по интеграции и консолидации данных из учетных систем (BILLZ, МойСклад, AmoCRM, Bitrix24, 1С) через REST API и SQL. Практический опыт мониторинга дебиторской задолженности, динамики просроченных платежей, прогнозирования CashFlow, а также анализа платежей в рассрочку и банковских провайдеров (Uzum Nasiya, Payme, Alif). Цель — трансформировать разрозненные транзакционные данные в ценные инсайты для оптимизации бизнес-процессов и роста прибыли.</w:t>
      </w:r>
    </w:p>
    <w:p>
      <w:pPr>
        <w:keepNext/>
        <w:spacing w:before="160" w:after="50"/>
        <w:pBdr>
          <w:bottom w:val="single" w:sz="8" w:space="2" w:color="182B49"/>
        </w:pBdr>
      </w:pPr>
      <w:r>
        <w:rPr>
          <w:rFonts w:ascii="Calibri" w:hAnsi="Calibri"/>
          <w:b/>
          <w:color w:val="182B49"/>
          <w:sz w:val="22"/>
        </w:rPr>
        <w:t>ОПЫТ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82B49"/>
                <w:sz w:val="20"/>
              </w:rPr>
              <w:t>Power BI Dashboard Developer / Data Analyst</w:t>
              <w:br/>
            </w:r>
            <w:r>
              <w:rPr>
                <w:rFonts w:ascii="Calibri" w:hAnsi="Calibri"/>
                <w:i/>
                <w:color w:val="46505F"/>
                <w:sz w:val="18"/>
              </w:rPr>
              <w:t>Team24  •  Ташкент, Узбекистан</w:t>
            </w:r>
          </w:p>
        </w:tc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30"/>
              <w:jc w:val="right"/>
            </w:pPr>
            <w:r>
              <w:rPr>
                <w:rFonts w:ascii="Calibri" w:hAnsi="Calibri"/>
                <w:b/>
                <w:color w:val="46505F"/>
                <w:sz w:val="18"/>
              </w:rPr>
              <w:t>Дек 2025 – по наст. время</w:t>
            </w:r>
          </w:p>
        </w:tc>
      </w:tr>
    </w:tbl>
    <w:p>
      <w:pPr>
        <w:pStyle w:val="ListBullet"/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Дашборды ДДС (CashFlow) и Управленческого Учета: </w:t>
      </w:r>
      <w:r>
        <w:rPr>
          <w:rFonts w:ascii="Calibri" w:hAnsi="Calibri"/>
          <w:color w:val="282828"/>
          <w:sz w:val="19"/>
        </w:rPr>
        <w:t>Проектирование и запуск интерактивных панелей управления, объединяющих данные по выручке, складским остаткам, расходам и 7-дневному прогнозу движения денежных средств для ритейла и дистрибуции.</w:t>
      </w:r>
    </w:p>
    <w:p>
      <w:pPr>
        <w:pStyle w:val="ListBullet"/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Контроль Дебиторской Задолженности и Просрочек: </w:t>
      </w:r>
      <w:r>
        <w:rPr>
          <w:rFonts w:ascii="Calibri" w:hAnsi="Calibri"/>
          <w:color w:val="282828"/>
          <w:sz w:val="19"/>
        </w:rPr>
        <w:t>Построение системы мониторинга взаиморасчетов с контрагентами, старения дебиторской задолженности и графиков погашения для минимизации кассовых разрывов.</w:t>
      </w:r>
    </w:p>
    <w:p>
      <w:pPr>
        <w:pStyle w:val="ListBullet"/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Аналитика Платежных Провайдеров и Рассрочки: </w:t>
      </w:r>
      <w:r>
        <w:rPr>
          <w:rFonts w:ascii="Calibri" w:hAnsi="Calibri"/>
          <w:color w:val="282828"/>
          <w:sz w:val="19"/>
        </w:rPr>
        <w:t>Анализ структуры продаж в рассрочку и кредитования через внешних провайдеров (Uzum Nasiya, Payme, Alif) с детализацией комиссий и долей партнеров.</w:t>
      </w:r>
    </w:p>
    <w:p>
      <w:pPr>
        <w:pStyle w:val="ListBullet"/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Автоматизация Интеграций и ETL (REST API): </w:t>
      </w:r>
      <w:r>
        <w:rPr>
          <w:rFonts w:ascii="Calibri" w:hAnsi="Calibri"/>
          <w:color w:val="282828"/>
          <w:sz w:val="19"/>
        </w:rPr>
        <w:t>Разработка автоматических пайплайнов для выгрузки данных из внешних платформ (BILLZ, МойСклад, AmoCRM, Bitrix24, Google Sheets) без ручной рутины.</w:t>
      </w:r>
    </w:p>
    <w:p>
      <w:pPr>
        <w:pStyle w:val="ListBullet"/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SQL-запросы и Подготовка Данных: </w:t>
      </w:r>
      <w:r>
        <w:rPr>
          <w:rFonts w:ascii="Calibri" w:hAnsi="Calibri"/>
          <w:color w:val="282828"/>
          <w:sz w:val="19"/>
        </w:rPr>
        <w:t>Написание и оптимизация SQL-запросов к реляционным базам данных (1С:Предприятие, MS SQL, PostgreSQL) для подготовки аналитических витрин данных.</w:t>
      </w:r>
    </w:p>
    <w:p>
      <w:pPr>
        <w:pStyle w:val="ListBullet"/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Моделирование Данных и DAX: </w:t>
      </w:r>
      <w:r>
        <w:rPr>
          <w:rFonts w:ascii="Calibri" w:hAnsi="Calibri"/>
          <w:color w:val="282828"/>
          <w:sz w:val="19"/>
        </w:rPr>
        <w:t>Построение моделей данных типа 'Звезда' (Star Schema), расчет динамических метрик Time Intelligence и сложных мер на языке DAX.</w:t>
      </w:r>
    </w:p>
    <w:p>
      <w:pPr>
        <w:keepNext/>
        <w:spacing w:before="160" w:after="50"/>
        <w:pBdr>
          <w:bottom w:val="single" w:sz="8" w:space="2" w:color="182B49"/>
        </w:pBdr>
      </w:pPr>
      <w:r>
        <w:rPr>
          <w:rFonts w:ascii="Calibri" w:hAnsi="Calibri"/>
          <w:b/>
          <w:color w:val="182B49"/>
          <w:sz w:val="22"/>
        </w:rPr>
        <w:t>КЛЮЧЕВЫЕ ПРОЕКТЫ И КЕЙСЫ</w:t>
      </w:r>
    </w:p>
    <w:p>
      <w:pPr>
        <w:spacing w:before="3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Управленческий дашборд дистрибуции и ритейла (SOTTEL): </w:t>
      </w:r>
      <w:r>
        <w:rPr>
          <w:rFonts w:ascii="Calibri" w:hAnsi="Calibri"/>
          <w:b/>
          <w:color w:val="006699"/>
          <w:sz w:val="17"/>
        </w:rPr>
        <w:t>[Power BI, REST API, МойСклад/BILLZ, DAX]</w:t>
        <w:br/>
      </w:r>
      <w:r>
        <w:rPr>
          <w:rFonts w:ascii="Calibri" w:hAnsi="Calibri"/>
          <w:color w:val="282828"/>
          <w:sz w:val="19"/>
        </w:rPr>
        <w:t>4-страничный аналитический комплекс: динамика валовых продаж, оборачиваемость складских остатков, расчеты с поставщиками и 7-дневный прогноз CashFlow.</w:t>
      </w:r>
    </w:p>
    <w:p>
      <w:pPr>
        <w:spacing w:before="3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Аналитика ювелирных продаж и учета металла (Ruzgar): </w:t>
      </w:r>
      <w:r>
        <w:rPr>
          <w:rFonts w:ascii="Calibri" w:hAnsi="Calibri"/>
          <w:b/>
          <w:color w:val="006699"/>
          <w:sz w:val="17"/>
        </w:rPr>
        <w:t>[Power BI, Google Sheets, Power Query, Фин. моделирование]</w:t>
        <w:br/>
      </w:r>
      <w:r>
        <w:rPr>
          <w:rFonts w:ascii="Calibri" w:hAnsi="Calibri"/>
          <w:color w:val="282828"/>
          <w:sz w:val="19"/>
        </w:rPr>
        <w:t>Система операционной аналитики: учет веса золота в граммах, обмен старых изделий (trade-in), фабричные закупки и чистая рентабельность торговых точек.</w:t>
      </w:r>
    </w:p>
    <w:p>
      <w:pPr>
        <w:keepNext/>
        <w:spacing w:before="160" w:after="50"/>
        <w:pBdr>
          <w:bottom w:val="single" w:sz="8" w:space="2" w:color="182B49"/>
        </w:pBdr>
      </w:pPr>
      <w:r>
        <w:rPr>
          <w:rFonts w:ascii="Calibri" w:hAnsi="Calibri"/>
          <w:b/>
          <w:color w:val="182B49"/>
          <w:sz w:val="22"/>
        </w:rPr>
        <w:t>ТЕХНИЧЕСКИЕ НАВЫКИ</w:t>
      </w:r>
    </w:p>
    <w:p>
      <w:pPr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BI и Визуализация: </w:t>
      </w:r>
      <w:r>
        <w:rPr>
          <w:rFonts w:ascii="Calibri" w:hAnsi="Calibri"/>
          <w:color w:val="282828"/>
          <w:sz w:val="19"/>
        </w:rPr>
        <w:t>Power BI, DAX, Power Query (M), Data Modeling (Star Schema), Интерактивные KPI-дашборды, Figma (UI/UX)</w:t>
      </w:r>
    </w:p>
    <w:p>
      <w:pPr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SQL и Программирование: </w:t>
      </w:r>
      <w:r>
        <w:rPr>
          <w:rFonts w:ascii="Calibri" w:hAnsi="Calibri"/>
          <w:color w:val="282828"/>
          <w:sz w:val="19"/>
        </w:rPr>
        <w:t>SQL (PostgreSQL, MS SQL / выгрузка из 1С), Python (Pandas, NumPy, Matplotlib, Requests)</w:t>
      </w:r>
    </w:p>
    <w:p>
      <w:pPr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ETL и Интеграции: </w:t>
      </w:r>
      <w:r>
        <w:rPr>
          <w:rFonts w:ascii="Calibri" w:hAnsi="Calibri"/>
          <w:color w:val="282828"/>
          <w:sz w:val="19"/>
        </w:rPr>
        <w:t>REST API, Коннекторы к CRM/ERP (BILLZ, МойСклад, AmoCRM, Bitrix24, Google Таблицы), Автоматизация данных</w:t>
      </w:r>
    </w:p>
    <w:p>
      <w:pPr>
        <w:spacing w:before="20" w:after="30" w:line="276" w:lineRule="auto"/>
      </w:pPr>
      <w:r>
        <w:rPr>
          <w:rFonts w:ascii="Calibri" w:hAnsi="Calibri"/>
          <w:b/>
          <w:color w:val="182B49"/>
          <w:sz w:val="19"/>
        </w:rPr>
        <w:t xml:space="preserve">Офисные Инструменты: </w:t>
      </w:r>
      <w:r>
        <w:rPr>
          <w:rFonts w:ascii="Calibri" w:hAnsi="Calibri"/>
          <w:color w:val="282828"/>
          <w:sz w:val="19"/>
        </w:rPr>
        <w:t>Microsoft Excel (Сводные таблицы, расширенные формулы), Git, GitHub</w:t>
      </w:r>
    </w:p>
    <w:p>
      <w:pPr>
        <w:keepNext/>
        <w:spacing w:before="160" w:after="50"/>
        <w:pBdr>
          <w:bottom w:val="single" w:sz="8" w:space="2" w:color="182B49"/>
        </w:pBdr>
      </w:pPr>
      <w:r>
        <w:rPr>
          <w:rFonts w:ascii="Calibri" w:hAnsi="Calibri"/>
          <w:b/>
          <w:color w:val="182B49"/>
          <w:sz w:val="22"/>
        </w:rPr>
        <w:t>ОБРАЗОВАНИЕ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30"/>
            </w:pPr>
            <w:r>
              <w:rPr>
                <w:rFonts w:ascii="Calibri" w:hAnsi="Calibri"/>
                <w:b/>
                <w:color w:val="182B49"/>
                <w:sz w:val="19"/>
              </w:rPr>
              <w:t>Бакалавр — Строительство зданий и сооружений</w:t>
              <w:br/>
            </w:r>
            <w:r>
              <w:rPr>
                <w:rFonts w:ascii="Calibri" w:hAnsi="Calibri"/>
                <w:i/>
                <w:color w:val="46505F"/>
                <w:sz w:val="18"/>
              </w:rPr>
              <w:t>Самаркандский государственный архитектурно-строительный университет</w:t>
            </w:r>
          </w:p>
        </w:tc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30"/>
              <w:jc w:val="right"/>
            </w:pPr>
            <w:r>
              <w:rPr>
                <w:rFonts w:ascii="Calibri" w:hAnsi="Calibri"/>
                <w:b/>
                <w:color w:val="46505F"/>
                <w:sz w:val="18"/>
              </w:rPr>
              <w:t>2021 – 2025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30"/>
            </w:pPr>
            <w:r>
              <w:rPr>
                <w:rFonts w:ascii="Calibri" w:hAnsi="Calibri"/>
                <w:b/>
                <w:color w:val="182B49"/>
                <w:sz w:val="19"/>
              </w:rPr>
              <w:t>Средне-специальное — Техническое направление</w:t>
              <w:br/>
            </w:r>
            <w:r>
              <w:rPr>
                <w:rFonts w:ascii="Calibri" w:hAnsi="Calibri"/>
                <w:i/>
                <w:color w:val="46505F"/>
                <w:sz w:val="18"/>
              </w:rPr>
              <w:t>Академический лицей при Гулистанском государственном университете</w:t>
            </w:r>
          </w:p>
        </w:tc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30"/>
              <w:jc w:val="right"/>
            </w:pPr>
            <w:r>
              <w:rPr>
                <w:rFonts w:ascii="Calibri" w:hAnsi="Calibri"/>
                <w:b/>
                <w:color w:val="46505F"/>
                <w:sz w:val="18"/>
              </w:rPr>
              <w:t>2019 – 2021</w:t>
            </w:r>
          </w:p>
        </w:tc>
      </w:tr>
    </w:tbl>
    <w:p>
      <w:pPr>
        <w:keepNext/>
        <w:spacing w:before="160" w:after="50"/>
        <w:pBdr>
          <w:bottom w:val="single" w:sz="8" w:space="2" w:color="182B49"/>
        </w:pBdr>
      </w:pPr>
      <w:r>
        <w:rPr>
          <w:rFonts w:ascii="Calibri" w:hAnsi="Calibri"/>
          <w:b/>
          <w:color w:val="182B49"/>
          <w:sz w:val="22"/>
        </w:rPr>
        <w:t>СЕРТИФИКАТЫ И КУРСЫ</w:t>
      </w:r>
    </w:p>
    <w:p>
      <w:pPr>
        <w:pStyle w:val="ListBullet"/>
        <w:spacing w:before="20" w:after="30"/>
      </w:pPr>
      <w:r>
        <w:rPr>
          <w:rFonts w:ascii="Calibri" w:hAnsi="Calibri"/>
          <w:b/>
          <w:color w:val="282828"/>
          <w:sz w:val="19"/>
        </w:rPr>
        <w:t>Комплексный курс Data Analytics</w:t>
      </w:r>
      <w:r>
        <w:rPr>
          <w:rFonts w:ascii="Calibri" w:hAnsi="Calibri"/>
          <w:color w:val="46505F"/>
          <w:sz w:val="19"/>
        </w:rPr>
        <w:t xml:space="preserve"> — Najot Ta'lim</w:t>
      </w:r>
    </w:p>
    <w:p>
      <w:pPr>
        <w:pStyle w:val="ListBullet"/>
        <w:spacing w:before="20" w:after="30"/>
      </w:pPr>
      <w:r>
        <w:rPr>
          <w:rFonts w:ascii="Calibri" w:hAnsi="Calibri"/>
          <w:b/>
          <w:color w:val="282828"/>
          <w:sz w:val="19"/>
        </w:rPr>
        <w:t>Специализация Data Science (Сертифицирован)</w:t>
      </w:r>
      <w:r>
        <w:rPr>
          <w:rFonts w:ascii="Calibri" w:hAnsi="Calibri"/>
          <w:color w:val="46505F"/>
          <w:sz w:val="19"/>
        </w:rPr>
        <w:t xml:space="preserve"> — Mirzo Ulugbek Vorislari</w:t>
      </w:r>
    </w:p>
    <w:p>
      <w:pPr>
        <w:keepNext/>
        <w:spacing w:before="160" w:after="50"/>
        <w:pBdr>
          <w:bottom w:val="single" w:sz="8" w:space="2" w:color="182B49"/>
        </w:pBdr>
      </w:pPr>
      <w:r>
        <w:rPr>
          <w:rFonts w:ascii="Calibri" w:hAnsi="Calibri"/>
          <w:b/>
          <w:color w:val="182B49"/>
          <w:sz w:val="22"/>
        </w:rPr>
        <w:t>ЯЗЫКИ</w:t>
      </w:r>
    </w:p>
    <w:p>
      <w:pPr>
        <w:spacing w:before="20" w:after="30"/>
      </w:pPr>
      <w:r>
        <w:rPr>
          <w:rFonts w:ascii="Calibri" w:hAnsi="Calibri"/>
          <w:b/>
          <w:color w:val="182B49"/>
          <w:sz w:val="19"/>
        </w:rPr>
        <w:t xml:space="preserve">Узбекский: </w:t>
      </w:r>
      <w:r>
        <w:rPr>
          <w:rFonts w:ascii="Calibri" w:hAnsi="Calibri"/>
          <w:color w:val="282828"/>
          <w:sz w:val="19"/>
        </w:rPr>
        <w:t>Родной</w:t>
      </w:r>
    </w:p>
    <w:p>
      <w:pPr>
        <w:spacing w:before="20" w:after="30"/>
      </w:pPr>
      <w:r>
        <w:rPr>
          <w:rFonts w:ascii="Calibri" w:hAnsi="Calibri"/>
          <w:b/>
          <w:color w:val="182B49"/>
          <w:sz w:val="19"/>
        </w:rPr>
        <w:t xml:space="preserve">Английский: </w:t>
      </w:r>
      <w:r>
        <w:rPr>
          <w:rFonts w:ascii="Calibri" w:hAnsi="Calibri"/>
          <w:color w:val="282828"/>
          <w:sz w:val="19"/>
        </w:rPr>
        <w:t>Pre-Intermediate / Технический уровень (Чтение тех. документации; проходит интенсивное обучение)</w:t>
      </w:r>
    </w:p>
    <w:p>
      <w:pPr>
        <w:spacing w:before="20" w:after="30"/>
      </w:pPr>
      <w:r>
        <w:rPr>
          <w:rFonts w:ascii="Calibri" w:hAnsi="Calibri"/>
          <w:b/>
          <w:color w:val="182B49"/>
          <w:sz w:val="19"/>
        </w:rPr>
        <w:t xml:space="preserve">Русский: </w:t>
      </w:r>
      <w:r>
        <w:rPr>
          <w:rFonts w:ascii="Calibri" w:hAnsi="Calibri"/>
          <w:color w:val="282828"/>
          <w:sz w:val="19"/>
        </w:rPr>
        <w:t>Базовый (Basic)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