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color w:val="182B49"/>
          <w:sz w:val="36"/>
        </w:rPr>
        <w:t>ASRORQULOV FARRUHJON</w:t>
      </w:r>
    </w:p>
    <w:p>
      <w:pPr>
        <w:spacing w:before="0" w:after="60"/>
        <w:jc w:val="center"/>
      </w:pPr>
      <w:r>
        <w:rPr>
          <w:rFonts w:ascii="Calibri" w:hAnsi="Calibri"/>
          <w:b/>
          <w:color w:val="006699"/>
          <w:sz w:val="23"/>
        </w:rPr>
        <w:t>Data Analyst | BI &amp; Hisobotlar bo‘yicha mutaxassis</w:t>
      </w:r>
    </w:p>
    <w:p>
      <w:pPr>
        <w:spacing w:before="0" w:after="100"/>
        <w:jc w:val="center"/>
      </w:pPr>
      <w:r>
        <w:rPr>
          <w:rFonts w:ascii="Calibri" w:hAnsi="Calibri"/>
          <w:color w:val="46505F"/>
          <w:sz w:val="19"/>
        </w:rPr>
        <w:t>Toshkent, O‘zbekiston  •  +998 93 814 10 03  •  farrukh.analytics.jr@gmail.com  •  Telegram: @asrorqulov_f</w:t>
        <w:br/>
        <w:t>GitHub  •  LinkedIn  •  Portfolio Hub</w:t>
      </w:r>
    </w:p>
    <w:p>
      <w:pPr>
        <w:keepNext/>
        <w:spacing w:before="160" w:after="50"/>
        <w:pBdr>
          <w:bottom w:val="single" w:sz="8" w:space="2" w:color="182B49"/>
        </w:pBdr>
      </w:pPr>
      <w:r>
        <w:rPr>
          <w:rFonts w:ascii="Calibri" w:hAnsi="Calibri"/>
          <w:b/>
          <w:color w:val="182B49"/>
          <w:sz w:val="22"/>
        </w:rPr>
        <w:t>KASBIY PROFIL (SUMMARY)</w:t>
      </w:r>
    </w:p>
    <w:p>
      <w:pPr>
        <w:spacing w:before="30" w:after="60" w:line="276" w:lineRule="auto"/>
      </w:pPr>
      <w:r>
        <w:rPr>
          <w:rFonts w:ascii="Calibri" w:hAnsi="Calibri"/>
          <w:color w:val="282828"/>
          <w:sz w:val="19"/>
        </w:rPr>
        <w:t>To‘liq sikldagi Business Intelligence (BI), avtomatlashtirilgan ETL quvurlari va interaktiv boshqaruv dashboardlari yaratishga ixtisoslashgan Data Analyst. Turli ERP va CRM tizimlaridan (BILLZ, MoySklad, AmoCRM, Bitrix24, 1C) REST API va SQL orqali tarqoq ma'lumotlarni yig'ish, tozalash va yagona bazaga integratsiya qilish bo‘yicha chuqur amaliy tajribaga ega. Pul oqimlari (CashFlow), qarzdorliklar monitoringi, muddati o‘tgan qarzlar tahlili hamda to‘lov/nasiya hamkorlari (Uzum Nasiya, Payme, Alif) kesimidagi tranzaksiyalar tahlilida amaliy tajribaga ega. Maqsad — kompaniya rahbarlariga to'g'ri biznes qarorlari qabul qilish uchun ma'lumotlar asosidagi aniq tushunchalarni taqdim etish.</w:t>
      </w:r>
    </w:p>
    <w:p>
      <w:pPr>
        <w:keepNext/>
        <w:spacing w:before="160" w:after="50"/>
        <w:pBdr>
          <w:bottom w:val="single" w:sz="8" w:space="2" w:color="182B49"/>
        </w:pBdr>
      </w:pPr>
      <w:r>
        <w:rPr>
          <w:rFonts w:ascii="Calibri" w:hAnsi="Calibri"/>
          <w:b/>
          <w:color w:val="182B49"/>
          <w:sz w:val="22"/>
        </w:rPr>
        <w:t>ISH TAJRIBASI</w:t>
      </w:r>
    </w:p>
    <w:tbl>
      <w:tblPr>
        <w:tblW w:type="auto" w:w="0"/>
        <w:jc w:val="center"/>
        <w:tblLayout w:type="fixed"/>
        <w:tblLook w:firstColumn="1" w:firstRow="1" w:lastColumn="0" w:lastRow="0" w:noHBand="0" w:noVBand="1" w:val="04A0"/>
      </w:tblPr>
      <w:tblGrid>
        <w:gridCol w:w="7200"/>
        <w:gridCol w:w="3168"/>
      </w:tblGrid>
      <w:tr>
        <w:tc>
          <w:tcPr>
            <w:tcW w:type="dxa" w:w="5184"/>
            <w:tcBorders>
              <w:top w:val="none"/>
              <w:left w:val="none"/>
              <w:bottom w:val="none"/>
              <w:right w:val="none"/>
            </w:tcBorders>
          </w:tcPr>
          <w:p>
            <w:pPr>
              <w:spacing w:before="30" w:after="30"/>
            </w:pPr>
            <w:r>
              <w:rPr>
                <w:rFonts w:ascii="Calibri" w:hAnsi="Calibri"/>
                <w:b/>
                <w:color w:val="182B49"/>
                <w:sz w:val="20"/>
              </w:rPr>
              <w:t>Power BI Dashboard Developer / Data Analyst</w:t>
              <w:br/>
            </w:r>
            <w:r>
              <w:rPr>
                <w:rFonts w:ascii="Calibri" w:hAnsi="Calibri"/>
                <w:i/>
                <w:color w:val="46505F"/>
                <w:sz w:val="18"/>
              </w:rPr>
              <w:t>Team24  •  Toshkent, O‘zbekiston</w:t>
            </w:r>
          </w:p>
        </w:tc>
        <w:tc>
          <w:tcPr>
            <w:tcW w:type="dxa" w:w="5184"/>
            <w:tcBorders>
              <w:top w:val="none"/>
              <w:left w:val="none"/>
              <w:bottom w:val="none"/>
              <w:right w:val="none"/>
            </w:tcBorders>
          </w:tcPr>
          <w:p>
            <w:pPr>
              <w:spacing w:before="30" w:after="30"/>
              <w:jc w:val="right"/>
            </w:pPr>
            <w:r>
              <w:rPr>
                <w:rFonts w:ascii="Calibri" w:hAnsi="Calibri"/>
                <w:b/>
                <w:color w:val="46505F"/>
                <w:sz w:val="18"/>
              </w:rPr>
              <w:t>Dekabr 2025 – Hozirgacha</w:t>
            </w:r>
          </w:p>
        </w:tc>
      </w:tr>
    </w:tbl>
    <w:p>
      <w:pPr>
        <w:pStyle w:val="ListBullet"/>
        <w:spacing w:before="20" w:after="30" w:line="276" w:lineRule="auto"/>
      </w:pPr>
      <w:r>
        <w:rPr>
          <w:rFonts w:ascii="Calibri" w:hAnsi="Calibri"/>
          <w:b/>
          <w:color w:val="182B49"/>
          <w:sz w:val="19"/>
        </w:rPr>
        <w:t xml:space="preserve">CashFlow va Rahbariyat Dashboardlari: </w:t>
      </w:r>
      <w:r>
        <w:rPr>
          <w:rFonts w:ascii="Calibri" w:hAnsi="Calibri"/>
          <w:color w:val="282828"/>
          <w:sz w:val="19"/>
        </w:rPr>
        <w:t>Chakana savdo va distribyutsiya bizneslari uchun tushumlar, ombor qoldiqlari, xarajatlar va 7 kunlik CashFlow bashoratini bitta oynada aks ettiruvchi interaktiv boshqaruv dashboardlarini ishlab chiqish.</w:t>
      </w:r>
    </w:p>
    <w:p>
      <w:pPr>
        <w:pStyle w:val="ListBullet"/>
        <w:spacing w:before="20" w:after="30" w:line="276" w:lineRule="auto"/>
      </w:pPr>
      <w:r>
        <w:rPr>
          <w:rFonts w:ascii="Calibri" w:hAnsi="Calibri"/>
          <w:b/>
          <w:color w:val="182B49"/>
          <w:sz w:val="19"/>
        </w:rPr>
        <w:t xml:space="preserve">Qarzdorlik va Kechiktirilgan To‘lovlar Monitoringi: </w:t>
      </w:r>
      <w:r>
        <w:rPr>
          <w:rFonts w:ascii="Calibri" w:hAnsi="Calibri"/>
          <w:color w:val="282828"/>
          <w:sz w:val="19"/>
        </w:rPr>
        <w:t>Mijozlar balansi, to‘lov muddatlari va muddati o‘tgan qarzdorliklarni nazorat qiluvchi tahliliy tizim yaratish orqali kassa uzilishlarini oldini olishga hissa qo‘shish.</w:t>
      </w:r>
    </w:p>
    <w:p>
      <w:pPr>
        <w:pStyle w:val="ListBullet"/>
        <w:spacing w:before="20" w:after="30" w:line="276" w:lineRule="auto"/>
      </w:pPr>
      <w:r>
        <w:rPr>
          <w:rFonts w:ascii="Calibri" w:hAnsi="Calibri"/>
          <w:b/>
          <w:color w:val="182B49"/>
          <w:sz w:val="19"/>
        </w:rPr>
        <w:t xml:space="preserve">To‘lov Tizimlari va Nasiya Tahlili: </w:t>
      </w:r>
      <w:r>
        <w:rPr>
          <w:rFonts w:ascii="Calibri" w:hAnsi="Calibri"/>
          <w:color w:val="282828"/>
          <w:sz w:val="19"/>
        </w:rPr>
        <w:t>Mijozlarning bo‘lib to‘lash (BNPL) va to‘lov operatorlari (Uzum Nasiya, Payme, Alif) orqali amalga oshirgan to‘lovlari ulushini hamda dinamikasini modellashtirish.</w:t>
      </w:r>
    </w:p>
    <w:p>
      <w:pPr>
        <w:pStyle w:val="ListBullet"/>
        <w:spacing w:before="20" w:after="30" w:line="276" w:lineRule="auto"/>
      </w:pPr>
      <w:r>
        <w:rPr>
          <w:rFonts w:ascii="Calibri" w:hAnsi="Calibri"/>
          <w:b/>
          <w:color w:val="182B49"/>
          <w:sz w:val="19"/>
        </w:rPr>
        <w:t xml:space="preserve">Avtomatlashtirilgan API Quvurlari (ETL): </w:t>
      </w:r>
      <w:r>
        <w:rPr>
          <w:rFonts w:ascii="Calibri" w:hAnsi="Calibri"/>
          <w:color w:val="282828"/>
          <w:sz w:val="19"/>
        </w:rPr>
        <w:t>Turli platformalardan (BILLZ, MoySklad, AmoCRM, Bitrix24, Google Sheets) ma'lumotlarni REST API orqali uzluksiz yuklab olish va yangilab turish jarayonlarini avtomatlashtirish.</w:t>
      </w:r>
    </w:p>
    <w:p>
      <w:pPr>
        <w:pStyle w:val="ListBullet"/>
        <w:spacing w:before="20" w:after="30" w:line="276" w:lineRule="auto"/>
      </w:pPr>
      <w:r>
        <w:rPr>
          <w:rFonts w:ascii="Calibri" w:hAnsi="Calibri"/>
          <w:b/>
          <w:color w:val="182B49"/>
          <w:sz w:val="19"/>
        </w:rPr>
        <w:t xml:space="preserve">SQL So‘rovlari va Ma'lumotlarni Qayta Ishlash: </w:t>
      </w:r>
      <w:r>
        <w:rPr>
          <w:rFonts w:ascii="Calibri" w:hAnsi="Calibri"/>
          <w:color w:val="282828"/>
          <w:sz w:val="19"/>
        </w:rPr>
        <w:t>Relyatsion ma'lumotlar bazalaridan (1C ERP, MS SQL, PostgreSQL) murakkab SQL so‘rovlar orqali ma'lumotlarni yig‘ish va tezkor tahlilga tayyorlash.</w:t>
      </w:r>
    </w:p>
    <w:p>
      <w:pPr>
        <w:pStyle w:val="ListBullet"/>
        <w:spacing w:before="20" w:after="30" w:line="276" w:lineRule="auto"/>
      </w:pPr>
      <w:r>
        <w:rPr>
          <w:rFonts w:ascii="Calibri" w:hAnsi="Calibri"/>
          <w:b/>
          <w:color w:val="182B49"/>
          <w:sz w:val="19"/>
        </w:rPr>
        <w:t xml:space="preserve">Ma'lumotlar Modellashtirish va DAX: </w:t>
      </w:r>
      <w:r>
        <w:rPr>
          <w:rFonts w:ascii="Calibri" w:hAnsi="Calibri"/>
          <w:color w:val="282828"/>
          <w:sz w:val="19"/>
        </w:rPr>
        <w:t>Star-schema modeli, vaqt dinamikasi (Time Intelligence) hisob-kitoblari va murakkab DAX formulalari asosida kengaytiriluvchi semantik modellar qurish.</w:t>
      </w:r>
    </w:p>
    <w:p>
      <w:pPr>
        <w:keepNext/>
        <w:spacing w:before="160" w:after="50"/>
        <w:pBdr>
          <w:bottom w:val="single" w:sz="8" w:space="2" w:color="182B49"/>
        </w:pBdr>
      </w:pPr>
      <w:r>
        <w:rPr>
          <w:rFonts w:ascii="Calibri" w:hAnsi="Calibri"/>
          <w:b/>
          <w:color w:val="182B49"/>
          <w:sz w:val="22"/>
        </w:rPr>
        <w:t>ASOSIY LOYIHALAR VA KEYSLAR</w:t>
      </w:r>
    </w:p>
    <w:p>
      <w:pPr>
        <w:spacing w:before="30" w:after="30" w:line="276" w:lineRule="auto"/>
      </w:pPr>
      <w:r>
        <w:rPr>
          <w:rFonts w:ascii="Calibri" w:hAnsi="Calibri"/>
          <w:b/>
          <w:color w:val="182B49"/>
          <w:sz w:val="19"/>
        </w:rPr>
        <w:t xml:space="preserve">Distribyutsiya va Savdo Boshqaruvi Dashboardi (SOTTEL): </w:t>
      </w:r>
      <w:r>
        <w:rPr>
          <w:rFonts w:ascii="Calibri" w:hAnsi="Calibri"/>
          <w:b/>
          <w:color w:val="006699"/>
          <w:sz w:val="17"/>
        </w:rPr>
        <w:t>[Power BI, REST API, MoySklad/BILLZ, DAX]</w:t>
        <w:br/>
      </w:r>
      <w:r>
        <w:rPr>
          <w:rFonts w:ascii="Calibri" w:hAnsi="Calibri"/>
          <w:color w:val="282828"/>
          <w:sz w:val="19"/>
        </w:rPr>
        <w:t>Kunlik savdo hajmi, ombordagi tovarlar aylanmasi, yetkazib beruvchilar bilan hisob-kitoblar va 7 kunlik kassa rejasini markazlashtirgan 4 sahifali boshqaruv paneli.</w:t>
      </w:r>
    </w:p>
    <w:p>
      <w:pPr>
        <w:spacing w:before="30" w:after="30" w:line="276" w:lineRule="auto"/>
      </w:pPr>
      <w:r>
        <w:rPr>
          <w:rFonts w:ascii="Calibri" w:hAnsi="Calibri"/>
          <w:b/>
          <w:color w:val="182B49"/>
          <w:sz w:val="19"/>
        </w:rPr>
        <w:t xml:space="preserve">Zargarlik Savdosi va Operatsion Xarajatlar Dashboardi (Ruzgar): </w:t>
      </w:r>
      <w:r>
        <w:rPr>
          <w:rFonts w:ascii="Calibri" w:hAnsi="Calibri"/>
          <w:b/>
          <w:color w:val="006699"/>
          <w:sz w:val="17"/>
        </w:rPr>
        <w:t>[Power BI, Google Sheets, Power Query, Moliyaviy Modellashtirish]</w:t>
        <w:br/>
      </w:r>
      <w:r>
        <w:rPr>
          <w:rFonts w:ascii="Calibri" w:hAnsi="Calibri"/>
          <w:color w:val="282828"/>
          <w:sz w:val="19"/>
        </w:rPr>
        <w:t>Oltin/kumush gramm og‘irligi, eski buyumlarni qabul qilish (trade-in), fabrika xaridlari va do‘konlarning sof foydasini tahlil qiluvchi operatsion tahliliy yechim.</w:t>
      </w:r>
    </w:p>
    <w:p>
      <w:pPr>
        <w:keepNext/>
        <w:spacing w:before="160" w:after="50"/>
        <w:pBdr>
          <w:bottom w:val="single" w:sz="8" w:space="2" w:color="182B49"/>
        </w:pBdr>
      </w:pPr>
      <w:r>
        <w:rPr>
          <w:rFonts w:ascii="Calibri" w:hAnsi="Calibri"/>
          <w:b/>
          <w:color w:val="182B49"/>
          <w:sz w:val="22"/>
        </w:rPr>
        <w:t>TEXNIK KO‘NIKMALAR</w:t>
      </w:r>
    </w:p>
    <w:p>
      <w:pPr>
        <w:spacing w:before="20" w:after="30" w:line="276" w:lineRule="auto"/>
      </w:pPr>
      <w:r>
        <w:rPr>
          <w:rFonts w:ascii="Calibri" w:hAnsi="Calibri"/>
          <w:b/>
          <w:color w:val="182B49"/>
          <w:sz w:val="19"/>
        </w:rPr>
        <w:t xml:space="preserve">BI va Vizualizatsiya: </w:t>
      </w:r>
      <w:r>
        <w:rPr>
          <w:rFonts w:ascii="Calibri" w:hAnsi="Calibri"/>
          <w:color w:val="282828"/>
          <w:sz w:val="19"/>
        </w:rPr>
        <w:t>Power BI, DAX, Power Query (M), Data Modeling (Star Schema), Interaktiv KPI panellari, Figma (UI/UX)</w:t>
      </w:r>
    </w:p>
    <w:p>
      <w:pPr>
        <w:spacing w:before="20" w:after="30" w:line="276" w:lineRule="auto"/>
      </w:pPr>
      <w:r>
        <w:rPr>
          <w:rFonts w:ascii="Calibri" w:hAnsi="Calibri"/>
          <w:b/>
          <w:color w:val="182B49"/>
          <w:sz w:val="19"/>
        </w:rPr>
        <w:t xml:space="preserve">Dasturlash va So‘rovlar: </w:t>
      </w:r>
      <w:r>
        <w:rPr>
          <w:rFonts w:ascii="Calibri" w:hAnsi="Calibri"/>
          <w:color w:val="282828"/>
          <w:sz w:val="19"/>
        </w:rPr>
        <w:t>SQL (PostgreSQL, MS SQL / 1C tahlili), Python (Pandas, NumPy, Matplotlib, Requests)</w:t>
      </w:r>
    </w:p>
    <w:p>
      <w:pPr>
        <w:spacing w:before="20" w:after="30" w:line="276" w:lineRule="auto"/>
      </w:pPr>
      <w:r>
        <w:rPr>
          <w:rFonts w:ascii="Calibri" w:hAnsi="Calibri"/>
          <w:b/>
          <w:color w:val="182B49"/>
          <w:sz w:val="19"/>
        </w:rPr>
        <w:t xml:space="preserve">ETL va Integratsiyalar: </w:t>
      </w:r>
      <w:r>
        <w:rPr>
          <w:rFonts w:ascii="Calibri" w:hAnsi="Calibri"/>
          <w:color w:val="282828"/>
          <w:sz w:val="19"/>
        </w:rPr>
        <w:t>REST API, CRM/ERP konnektorlari (BILLZ, MoySklad, AmoCRM, Bitrix24, Google Sheets), Avtomatlashtirish</w:t>
      </w:r>
    </w:p>
    <w:p>
      <w:pPr>
        <w:spacing w:before="20" w:after="30" w:line="276" w:lineRule="auto"/>
      </w:pPr>
      <w:r>
        <w:rPr>
          <w:rFonts w:ascii="Calibri" w:hAnsi="Calibri"/>
          <w:b/>
          <w:color w:val="182B49"/>
          <w:sz w:val="19"/>
        </w:rPr>
        <w:t xml:space="preserve">Ofis va Yordamchi Vositalar: </w:t>
      </w:r>
      <w:r>
        <w:rPr>
          <w:rFonts w:ascii="Calibri" w:hAnsi="Calibri"/>
          <w:color w:val="282828"/>
          <w:sz w:val="19"/>
        </w:rPr>
        <w:t>Microsoft Excel (Murakkab formulalar, Pivot Tables), Git, GitHub</w:t>
      </w:r>
    </w:p>
    <w:p>
      <w:pPr>
        <w:keepNext/>
        <w:spacing w:before="160" w:after="50"/>
        <w:pBdr>
          <w:bottom w:val="single" w:sz="8" w:space="2" w:color="182B49"/>
        </w:pBdr>
      </w:pPr>
      <w:r>
        <w:rPr>
          <w:rFonts w:ascii="Calibri" w:hAnsi="Calibri"/>
          <w:b/>
          <w:color w:val="182B49"/>
          <w:sz w:val="22"/>
        </w:rPr>
        <w:t>TA'LIM</w:t>
      </w:r>
    </w:p>
    <w:tbl>
      <w:tblPr>
        <w:tblW w:type="auto" w:w="0"/>
        <w:jc w:val="center"/>
        <w:tblLayout w:type="fixed"/>
        <w:tblLook w:firstColumn="1" w:firstRow="1" w:lastColumn="0" w:lastRow="0" w:noHBand="0" w:noVBand="1" w:val="04A0"/>
      </w:tblPr>
      <w:tblGrid>
        <w:gridCol w:w="7488"/>
        <w:gridCol w:w="2880"/>
      </w:tblGrid>
      <w:tr>
        <w:tc>
          <w:tcPr>
            <w:tcW w:type="dxa" w:w="5184"/>
            <w:tcBorders>
              <w:top w:val="none"/>
              <w:left w:val="none"/>
              <w:bottom w:val="none"/>
              <w:right w:val="none"/>
            </w:tcBorders>
          </w:tcPr>
          <w:p>
            <w:pPr>
              <w:spacing w:before="20" w:after="30"/>
            </w:pPr>
            <w:r>
              <w:rPr>
                <w:rFonts w:ascii="Calibri" w:hAnsi="Calibri"/>
                <w:b/>
                <w:color w:val="182B49"/>
                <w:sz w:val="19"/>
              </w:rPr>
              <w:t>Bakalavr — Bino va inshootlar qurilishi</w:t>
              <w:br/>
            </w:r>
            <w:r>
              <w:rPr>
                <w:rFonts w:ascii="Calibri" w:hAnsi="Calibri"/>
                <w:i/>
                <w:color w:val="46505F"/>
                <w:sz w:val="18"/>
              </w:rPr>
              <w:t>Samarqand davlat arxitektura va qurilish universiteti</w:t>
            </w:r>
          </w:p>
        </w:tc>
        <w:tc>
          <w:tcPr>
            <w:tcW w:type="dxa" w:w="5184"/>
            <w:tcBorders>
              <w:top w:val="none"/>
              <w:left w:val="none"/>
              <w:bottom w:val="none"/>
              <w:right w:val="none"/>
            </w:tcBorders>
          </w:tcPr>
          <w:p>
            <w:pPr>
              <w:spacing w:before="20" w:after="30"/>
              <w:jc w:val="right"/>
            </w:pPr>
            <w:r>
              <w:rPr>
                <w:rFonts w:ascii="Calibri" w:hAnsi="Calibri"/>
                <w:b/>
                <w:color w:val="46505F"/>
                <w:sz w:val="18"/>
              </w:rPr>
              <w:t>2021 – 2025</w:t>
            </w:r>
          </w:p>
        </w:tc>
      </w:tr>
    </w:tbl>
    <w:tbl>
      <w:tblPr>
        <w:tblW w:type="auto" w:w="0"/>
        <w:jc w:val="center"/>
        <w:tblLayout w:type="fixed"/>
        <w:tblLook w:firstColumn="1" w:firstRow="1" w:lastColumn="0" w:lastRow="0" w:noHBand="0" w:noVBand="1" w:val="04A0"/>
      </w:tblPr>
      <w:tblGrid>
        <w:gridCol w:w="7488"/>
        <w:gridCol w:w="2880"/>
      </w:tblGrid>
      <w:tr>
        <w:tc>
          <w:tcPr>
            <w:tcW w:type="dxa" w:w="5184"/>
            <w:tcBorders>
              <w:top w:val="none"/>
              <w:left w:val="none"/>
              <w:bottom w:val="none"/>
              <w:right w:val="none"/>
            </w:tcBorders>
          </w:tcPr>
          <w:p>
            <w:pPr>
              <w:spacing w:before="20" w:after="30"/>
            </w:pPr>
            <w:r>
              <w:rPr>
                <w:rFonts w:ascii="Calibri" w:hAnsi="Calibri"/>
                <w:b/>
                <w:color w:val="182B49"/>
                <w:sz w:val="19"/>
              </w:rPr>
              <w:t>O‘rta maxsus — Texnika yo‘nalishi</w:t>
              <w:br/>
            </w:r>
            <w:r>
              <w:rPr>
                <w:rFonts w:ascii="Calibri" w:hAnsi="Calibri"/>
                <w:i/>
                <w:color w:val="46505F"/>
                <w:sz w:val="18"/>
              </w:rPr>
              <w:t>Guliston davlat universiteti qoshidagi Akademik litsey</w:t>
            </w:r>
          </w:p>
        </w:tc>
        <w:tc>
          <w:tcPr>
            <w:tcW w:type="dxa" w:w="5184"/>
            <w:tcBorders>
              <w:top w:val="none"/>
              <w:left w:val="none"/>
              <w:bottom w:val="none"/>
              <w:right w:val="none"/>
            </w:tcBorders>
          </w:tcPr>
          <w:p>
            <w:pPr>
              <w:spacing w:before="20" w:after="30"/>
              <w:jc w:val="right"/>
            </w:pPr>
            <w:r>
              <w:rPr>
                <w:rFonts w:ascii="Calibri" w:hAnsi="Calibri"/>
                <w:b/>
                <w:color w:val="46505F"/>
                <w:sz w:val="18"/>
              </w:rPr>
              <w:t>2019 – 2021</w:t>
            </w:r>
          </w:p>
        </w:tc>
      </w:tr>
    </w:tbl>
    <w:p>
      <w:pPr>
        <w:keepNext/>
        <w:spacing w:before="160" w:after="50"/>
        <w:pBdr>
          <w:bottom w:val="single" w:sz="8" w:space="2" w:color="182B49"/>
        </w:pBdr>
      </w:pPr>
      <w:r>
        <w:rPr>
          <w:rFonts w:ascii="Calibri" w:hAnsi="Calibri"/>
          <w:b/>
          <w:color w:val="182B49"/>
          <w:sz w:val="22"/>
        </w:rPr>
        <w:t>SERTIFIKATLAR VA KURSLAR</w:t>
      </w:r>
    </w:p>
    <w:p>
      <w:pPr>
        <w:pStyle w:val="ListBullet"/>
        <w:spacing w:before="20" w:after="30"/>
      </w:pPr>
      <w:r>
        <w:rPr>
          <w:rFonts w:ascii="Calibri" w:hAnsi="Calibri"/>
          <w:b/>
          <w:color w:val="282828"/>
          <w:sz w:val="19"/>
        </w:rPr>
        <w:t>Data Analytics Kengaytirilgan Kursi</w:t>
      </w:r>
      <w:r>
        <w:rPr>
          <w:rFonts w:ascii="Calibri" w:hAnsi="Calibri"/>
          <w:color w:val="46505F"/>
          <w:sz w:val="19"/>
        </w:rPr>
        <w:t xml:space="preserve"> — Najot Ta'lim</w:t>
      </w:r>
    </w:p>
    <w:p>
      <w:pPr>
        <w:pStyle w:val="ListBullet"/>
        <w:spacing w:before="20" w:after="30"/>
      </w:pPr>
      <w:r>
        <w:rPr>
          <w:rFonts w:ascii="Calibri" w:hAnsi="Calibri"/>
          <w:b/>
          <w:color w:val="282828"/>
          <w:sz w:val="19"/>
        </w:rPr>
        <w:t>Data Science Kursi (Sertifikatlangan)</w:t>
      </w:r>
      <w:r>
        <w:rPr>
          <w:rFonts w:ascii="Calibri" w:hAnsi="Calibri"/>
          <w:color w:val="46505F"/>
          <w:sz w:val="19"/>
        </w:rPr>
        <w:t xml:space="preserve"> — Mirzo Ulug‘bek Vorislari</w:t>
      </w:r>
    </w:p>
    <w:p>
      <w:pPr>
        <w:keepNext/>
        <w:spacing w:before="160" w:after="50"/>
        <w:pBdr>
          <w:bottom w:val="single" w:sz="8" w:space="2" w:color="182B49"/>
        </w:pBdr>
      </w:pPr>
      <w:r>
        <w:rPr>
          <w:rFonts w:ascii="Calibri" w:hAnsi="Calibri"/>
          <w:b/>
          <w:color w:val="182B49"/>
          <w:sz w:val="22"/>
        </w:rPr>
        <w:t>TILLAR</w:t>
      </w:r>
    </w:p>
    <w:p>
      <w:pPr>
        <w:spacing w:before="20" w:after="30"/>
      </w:pPr>
      <w:r>
        <w:rPr>
          <w:rFonts w:ascii="Calibri" w:hAnsi="Calibri"/>
          <w:b/>
          <w:color w:val="182B49"/>
          <w:sz w:val="19"/>
        </w:rPr>
        <w:t xml:space="preserve">O‘zbek tili: </w:t>
      </w:r>
      <w:r>
        <w:rPr>
          <w:rFonts w:ascii="Calibri" w:hAnsi="Calibri"/>
          <w:color w:val="282828"/>
          <w:sz w:val="19"/>
        </w:rPr>
        <w:t>Ona tili</w:t>
      </w:r>
    </w:p>
    <w:p>
      <w:pPr>
        <w:spacing w:before="20" w:after="30"/>
      </w:pPr>
      <w:r>
        <w:rPr>
          <w:rFonts w:ascii="Calibri" w:hAnsi="Calibri"/>
          <w:b/>
          <w:color w:val="182B49"/>
          <w:sz w:val="19"/>
        </w:rPr>
        <w:t xml:space="preserve">Ingliz tili: </w:t>
      </w:r>
      <w:r>
        <w:rPr>
          <w:rFonts w:ascii="Calibri" w:hAnsi="Calibri"/>
          <w:color w:val="282828"/>
          <w:sz w:val="19"/>
        </w:rPr>
        <w:t>Pre-Intermediate / Texnik ishchi daraja (Texnik adabiyot va hujjatlarni erkin tushunish; hozirda intensiv kursda o‘rganilmoqda)</w:t>
      </w:r>
    </w:p>
    <w:p>
      <w:pPr>
        <w:spacing w:before="20" w:after="30"/>
      </w:pPr>
      <w:r>
        <w:rPr>
          <w:rFonts w:ascii="Calibri" w:hAnsi="Calibri"/>
          <w:b/>
          <w:color w:val="182B49"/>
          <w:sz w:val="19"/>
        </w:rPr>
        <w:t xml:space="preserve">Rus tili: </w:t>
      </w:r>
      <w:r>
        <w:rPr>
          <w:rFonts w:ascii="Calibri" w:hAnsi="Calibri"/>
          <w:color w:val="282828"/>
          <w:sz w:val="19"/>
        </w:rPr>
        <w:t>Boshlang‘ich (Basic)</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