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ADC10CTL0</w:t>
      </w:r>
      <w:r w:rsidDel="00000000" w:rsidR="00000000" w:rsidRPr="00000000">
        <w:rPr>
          <w:sz w:val="20"/>
          <w:szCs w:val="20"/>
          <w:rtl w:val="0"/>
        </w:rPr>
        <w:t xml:space="preserve"> - controls on features “inside ADC”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1913" cy="2206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20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sz w:val="20"/>
          <w:szCs w:val="20"/>
          <w:u w:val="single"/>
        </w:rPr>
        <w:drawing>
          <wp:inline distB="114300" distT="114300" distL="114300" distR="114300">
            <wp:extent cx="3301163" cy="3224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1163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