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2563EB"/>
          <w:sz w:val="48"/>
          <w:szCs w:val="48"/>
        </w:rPr>
        <w:t xml:space="preserve">RIZAVAL</w:t>
      </w:r>
    </w:p>
    <w:p>
      <w:pPr>
        <w:spacing w:after="40"/>
        <w:jc w:val="center"/>
      </w:pPr>
      <w:r>
        <w:rPr>
          <w:color w:val="6B7280"/>
          <w:sz w:val="24"/>
          <w:szCs w:val="24"/>
        </w:rPr>
        <w:t xml:space="preserve">Digitalisation et Valorisation de la Riziculture dans la Vallée du Fleuve Sénégal</w:t>
      </w:r>
    </w:p>
    <w:p>
      <w:pPr>
        <w:spacing w:after="300"/>
        <w:jc w:val="center"/>
      </w:pPr>
      <w:r>
        <w:rPr>
          <w:b/>
          <w:bCs/>
          <w:color w:val="1F2937"/>
          <w:sz w:val="22"/>
          <w:szCs w:val="22"/>
        </w:rPr>
        <w:t xml:space="preserve">DOCUMENT DE PROJET</w:t>
      </w:r>
    </w:p>
    <w:p>
      <w:pPr>
        <w:pStyle w:val="Heading1"/>
        <w:spacing w:after="140" w:before="300"/>
      </w:pPr>
      <w:r>
        <w:t xml:space="preserve">1. Informations générales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2563EB" w:val="clear"/>
            <w:tcMar>
              <w:top w:type="dxa" w:w="100"/>
              <w:left w:type="dxa" w:w="120"/>
              <w:bottom w:type="dxa" w:w="100"/>
              <w:right w:type="dxa" w:w="120"/>
            </w:tcMar>
          </w:tcPr>
          <w:p>
            <w:r>
              <w:rPr>
                <w:b/>
                <w:bCs/>
                <w:color w:val="FFFFFF"/>
                <w:sz w:val="20"/>
                <w:szCs w:val="20"/>
              </w:rPr>
              <w:t xml:space="preserve">Nom du projet</w:t>
            </w:r>
          </w:p>
        </w:tc>
        <w:tc>
          <w:tcPr>
            <w:tcW w:type="pct" w:w="70%"/>
            <w:tcMar>
              <w:top w:type="dxa" w:w="100"/>
              <w:left w:type="dxa" w:w="120"/>
              <w:bottom w:type="dxa" w:w="100"/>
              <w:right w:type="dxa" w:w="120"/>
            </w:tcMar>
          </w:tcPr>
          <w:p>
            <w:r>
              <w:rPr>
                <w:b w:val="false"/>
                <w:bCs w:val="false"/>
                <w:color w:val="1F2937"/>
                <w:sz w:val="20"/>
                <w:szCs w:val="20"/>
              </w:rPr>
              <w:t xml:space="preserve">RIZAVAL — Digitalisation et Valorisation de la Riziculture dans la Vallée du Fleuve</w:t>
            </w:r>
          </w:p>
        </w:tc>
      </w:tr>
      <w:tr>
        <w:tc>
          <w:tcPr>
            <w:tcW w:type="pct" w:w="25%"/>
            <w:shd w:fill="2563EB" w:val="clear"/>
            <w:tcMar>
              <w:top w:type="dxa" w:w="100"/>
              <w:left w:type="dxa" w:w="120"/>
              <w:bottom w:type="dxa" w:w="100"/>
              <w:right w:type="dxa" w:w="120"/>
            </w:tcMar>
          </w:tcPr>
          <w:p>
            <w:r>
              <w:rPr>
                <w:b/>
                <w:bCs/>
                <w:color w:val="FFFFFF"/>
                <w:sz w:val="20"/>
                <w:szCs w:val="20"/>
              </w:rPr>
              <w:t xml:space="preserve">Zone d'intervention</w:t>
            </w:r>
          </w:p>
        </w:tc>
        <w:tc>
          <w:tcPr>
            <w:tcW w:type="pct" w:w="25%"/>
            <w:tcMar>
              <w:top w:type="dxa" w:w="100"/>
              <w:left w:type="dxa" w:w="120"/>
              <w:bottom w:type="dxa" w:w="100"/>
              <w:right w:type="dxa" w:w="120"/>
            </w:tcMar>
          </w:tcPr>
          <w:p>
            <w:r>
              <w:rPr>
                <w:b w:val="false"/>
                <w:bCs w:val="false"/>
                <w:color w:val="1F2937"/>
                <w:sz w:val="20"/>
                <w:szCs w:val="20"/>
              </w:rPr>
              <w:t xml:space="preserve">Vallée du fleuve Sénégal — Départements de Dagana et Podor</w:t>
            </w:r>
          </w:p>
        </w:tc>
      </w:tr>
      <w:tr>
        <w:tc>
          <w:tcPr>
            <w:tcW w:type="pct" w:w="25%"/>
            <w:shd w:fill="2563EB" w:val="clear"/>
            <w:tcMar>
              <w:top w:type="dxa" w:w="100"/>
              <w:left w:type="dxa" w:w="120"/>
              <w:bottom w:type="dxa" w:w="100"/>
              <w:right w:type="dxa" w:w="120"/>
            </w:tcMar>
          </w:tcPr>
          <w:p>
            <w:r>
              <w:rPr>
                <w:b/>
                <w:bCs/>
                <w:color w:val="FFFFFF"/>
                <w:sz w:val="20"/>
                <w:szCs w:val="20"/>
              </w:rPr>
              <w:t xml:space="preserve">Durée</w:t>
            </w:r>
          </w:p>
        </w:tc>
        <w:tc>
          <w:tcPr>
            <w:tcW w:type="pct" w:w="25%"/>
            <w:tcMar>
              <w:top w:type="dxa" w:w="100"/>
              <w:left w:type="dxa" w:w="120"/>
              <w:bottom w:type="dxa" w:w="100"/>
              <w:right w:type="dxa" w:w="120"/>
            </w:tcMar>
          </w:tcPr>
          <w:p>
            <w:r>
              <w:rPr>
                <w:b w:val="false"/>
                <w:bCs w:val="false"/>
                <w:color w:val="1F2937"/>
                <w:sz w:val="20"/>
                <w:szCs w:val="20"/>
              </w:rPr>
              <w:t xml:space="preserve">36 mois (mars 2026 – février 2029)</w:t>
            </w:r>
          </w:p>
        </w:tc>
      </w:tr>
      <w:tr>
        <w:tc>
          <w:tcPr>
            <w:tcW w:type="pct" w:w="25%"/>
            <w:shd w:fill="2563EB" w:val="clear"/>
            <w:tcMar>
              <w:top w:type="dxa" w:w="100"/>
              <w:left w:type="dxa" w:w="120"/>
              <w:bottom w:type="dxa" w:w="100"/>
              <w:right w:type="dxa" w:w="120"/>
            </w:tcMar>
          </w:tcPr>
          <w:p>
            <w:r>
              <w:rPr>
                <w:b/>
                <w:bCs/>
                <w:color w:val="FFFFFF"/>
                <w:sz w:val="20"/>
                <w:szCs w:val="20"/>
              </w:rPr>
              <w:t xml:space="preserve">Budget global</w:t>
            </w:r>
          </w:p>
        </w:tc>
        <w:tc>
          <w:tcPr>
            <w:tcW w:type="pct" w:w="25%"/>
            <w:tcMar>
              <w:top w:type="dxa" w:w="100"/>
              <w:left w:type="dxa" w:w="120"/>
              <w:bottom w:type="dxa" w:w="100"/>
              <w:right w:type="dxa" w:w="120"/>
            </w:tcMar>
          </w:tcPr>
          <w:p>
            <w:r>
              <w:rPr>
                <w:b w:val="false"/>
                <w:bCs w:val="false"/>
                <w:color w:val="1F2937"/>
                <w:sz w:val="20"/>
                <w:szCs w:val="20"/>
              </w:rPr>
              <w:t xml:space="preserve">465 150 000 FCFA (≈ 709 100 EUR)</w:t>
            </w:r>
          </w:p>
        </w:tc>
      </w:tr>
      <w:tr>
        <w:tc>
          <w:tcPr>
            <w:tcW w:type="pct" w:w="25%"/>
            <w:shd w:fill="2563EB" w:val="clear"/>
            <w:tcMar>
              <w:top w:type="dxa" w:w="100"/>
              <w:left w:type="dxa" w:w="120"/>
              <w:bottom w:type="dxa" w:w="100"/>
              <w:right w:type="dxa" w:w="120"/>
            </w:tcMar>
          </w:tcPr>
          <w:p>
            <w:r>
              <w:rPr>
                <w:b/>
                <w:bCs/>
                <w:color w:val="FFFFFF"/>
                <w:sz w:val="20"/>
                <w:szCs w:val="20"/>
              </w:rPr>
              <w:t xml:space="preserve">Bénéficiaires</w:t>
            </w:r>
          </w:p>
        </w:tc>
        <w:tc>
          <w:tcPr>
            <w:tcW w:type="pct" w:w="25%"/>
            <w:tcMar>
              <w:top w:type="dxa" w:w="100"/>
              <w:left w:type="dxa" w:w="120"/>
              <w:bottom w:type="dxa" w:w="100"/>
              <w:right w:type="dxa" w:w="120"/>
            </w:tcMar>
          </w:tcPr>
          <w:p>
            <w:r>
              <w:rPr>
                <w:b w:val="false"/>
                <w:bCs w:val="false"/>
                <w:color w:val="1F2937"/>
                <w:sz w:val="20"/>
                <w:szCs w:val="20"/>
              </w:rPr>
              <w:t xml:space="preserve">2 000 producteurs de riz (1 100 à Dagana, 900 à Podor)</w:t>
            </w:r>
          </w:p>
        </w:tc>
      </w:tr>
      <w:tr>
        <w:tc>
          <w:tcPr>
            <w:tcW w:type="pct" w:w="25%"/>
            <w:shd w:fill="2563EB" w:val="clear"/>
            <w:tcMar>
              <w:top w:type="dxa" w:w="100"/>
              <w:left w:type="dxa" w:w="120"/>
              <w:bottom w:type="dxa" w:w="100"/>
              <w:right w:type="dxa" w:w="120"/>
            </w:tcMar>
          </w:tcPr>
          <w:p>
            <w:r>
              <w:rPr>
                <w:b/>
                <w:bCs/>
                <w:color w:val="FFFFFF"/>
                <w:sz w:val="20"/>
                <w:szCs w:val="20"/>
              </w:rPr>
              <w:t xml:space="preserve">Statut</w:t>
            </w:r>
          </w:p>
        </w:tc>
        <w:tc>
          <w:tcPr>
            <w:tcW w:type="pct" w:w="25%"/>
            <w:tcMar>
              <w:top w:type="dxa" w:w="100"/>
              <w:left w:type="dxa" w:w="120"/>
              <w:bottom w:type="dxa" w:w="100"/>
              <w:right w:type="dxa" w:w="120"/>
            </w:tcMar>
          </w:tcPr>
          <w:p>
            <w:r>
              <w:rPr>
                <w:b w:val="false"/>
                <w:bCs w:val="false"/>
                <w:color w:val="1F2937"/>
                <w:sz w:val="20"/>
                <w:szCs w:val="20"/>
              </w:rPr>
              <w:t xml:space="preserve">En cours</w:t>
            </w:r>
          </w:p>
        </w:tc>
      </w:tr>
    </w:tbl>
    <w:p>
      <w:pPr>
        <w:pStyle w:val="Heading1"/>
        <w:spacing w:after="140" w:before="300"/>
      </w:pPr>
      <w:r>
        <w:t xml:space="preserve">2. Contexte et justification</w:t>
      </w:r>
    </w:p>
    <w:p>
      <w:pPr>
        <w:spacing w:after="140"/>
      </w:pPr>
      <w:r>
        <w:t xml:space="preserve">La riziculture irriguée constitue une activité économique centrale pour les producteurs de la vallée du fleuve Sénégal, en particulier dans les départements de Dagana et Podor. Cette filière reste toutefois confrontée à plusieurs contraintes structurelles qui limitent son potentiel.</w:t>
      </w:r>
    </w:p>
    <w:p>
      <w:pPr>
        <w:pStyle w:val="ListParagraph"/>
        <w:numPr>
          <w:ilvl w:val="0"/>
          <w:numId w:val="2"/>
        </w:numPr>
        <w:spacing w:after="60"/>
      </w:pPr>
      <w:r>
        <w:t xml:space="preserve">Des rendements moyens (4,2 t/ha) en deçà du potentiel agronomique de la zone</w:t>
      </w:r>
    </w:p>
    <w:p>
      <w:pPr>
        <w:pStyle w:val="ListParagraph"/>
        <w:numPr>
          <w:ilvl w:val="0"/>
          <w:numId w:val="2"/>
        </w:numPr>
        <w:spacing w:after="60"/>
      </w:pPr>
      <w:r>
        <w:t xml:space="preserve">Un accès limité aux intrants de qualité et aux itinéraires techniques améliorés</w:t>
      </w:r>
    </w:p>
    <w:p>
      <w:pPr>
        <w:pStyle w:val="ListParagraph"/>
        <w:numPr>
          <w:ilvl w:val="0"/>
          <w:numId w:val="2"/>
        </w:numPr>
        <w:spacing w:after="60"/>
      </w:pPr>
      <w:r>
        <w:t xml:space="preserve">Un déficit de données fiables sur les parcelles, les superficies et les rendements</w:t>
      </w:r>
    </w:p>
    <w:p>
      <w:pPr>
        <w:pStyle w:val="ListParagraph"/>
        <w:numPr>
          <w:ilvl w:val="0"/>
          <w:numId w:val="2"/>
        </w:numPr>
        <w:spacing w:after="60"/>
      </w:pPr>
      <w:r>
        <w:t xml:space="preserve">Des circuits de commercialisation peu structurés, dominés par des intermédiaires informels</w:t>
      </w:r>
    </w:p>
    <w:p>
      <w:pPr>
        <w:pStyle w:val="ListParagraph"/>
        <w:numPr>
          <w:ilvl w:val="0"/>
          <w:numId w:val="2"/>
        </w:numPr>
        <w:spacing w:after="60"/>
      </w:pPr>
      <w:r>
        <w:t xml:space="preserve">Un accès encore restreint aux outils numériques d'aide à la décision agricole</w:t>
      </w:r>
    </w:p>
    <w:p>
      <w:pPr>
        <w:spacing w:after="140"/>
      </w:pPr>
      <w:r>
        <w:t xml:space="preserve">RIZAVAL répond à ces contraintes par une approche intégrée associant renforcement des capacités techniques, digitalisation du suivi agricole et structuration de la commercialisation, au bénéfice direct des producteurs des deux départements.</w:t>
      </w:r>
    </w:p>
    <w:p>
      <w:pPr>
        <w:pStyle w:val="Heading1"/>
        <w:spacing w:after="140" w:before="300"/>
      </w:pPr>
      <w:r>
        <w:t xml:space="preserve">3. Objectifs du projet</w:t>
      </w:r>
    </w:p>
    <w:p>
      <w:pPr>
        <w:pStyle w:val="Heading2"/>
        <w:spacing w:after="100" w:before="200"/>
      </w:pPr>
      <w:r>
        <w:t xml:space="preserve">Objectif général</w:t>
      </w:r>
    </w:p>
    <w:p>
      <w:pPr>
        <w:spacing w:after="140"/>
      </w:pPr>
      <w:r>
        <w:t xml:space="preserve">Contribuer à l'amélioration durable des revenus et de la sécurité alimentaire des producteurs de riz de la vallée du fleuve Sénégal, par le renforcement de la production, la digitalisation des services agricoles et l'amélioration de l'accès aux marchés.</w:t>
      </w:r>
    </w:p>
    <w:p>
      <w:pPr>
        <w:pStyle w:val="Heading2"/>
        <w:spacing w:after="100" w:before="200"/>
      </w:pPr>
      <w:r>
        <w:t xml:space="preserve">Objectifs spécifiques</w:t>
      </w:r>
    </w:p>
    <w:p>
      <w:pPr>
        <w:pStyle w:val="ListParagraph"/>
        <w:numPr>
          <w:ilvl w:val="0"/>
          <w:numId w:val="2"/>
        </w:numPr>
        <w:spacing w:after="60"/>
      </w:pPr>
      <w:r>
        <w:t xml:space="preserve">OS1 — Renforcer les capacités techniques et productives de 2 000 producteurs, pour améliorer le rendement moyen d'au moins 20% d'ici la fin du projet.</w:t>
      </w:r>
    </w:p>
    <w:p>
      <w:pPr>
        <w:pStyle w:val="ListParagraph"/>
        <w:numPr>
          <w:ilvl w:val="0"/>
          <w:numId w:val="2"/>
        </w:numPr>
        <w:spacing w:after="60"/>
      </w:pPr>
      <w:r>
        <w:t xml:space="preserve">OS2 — Déployer une plateforme numérique de suivi agricole pour au moins 1 500 producteurs d'ici la fin du projet.</w:t>
      </w:r>
    </w:p>
    <w:p>
      <w:pPr>
        <w:pStyle w:val="ListParagraph"/>
        <w:numPr>
          <w:ilvl w:val="0"/>
          <w:numId w:val="2"/>
        </w:numPr>
        <w:spacing w:after="60"/>
      </w:pPr>
      <w:r>
        <w:t xml:space="preserve">OS3 — Structurer la commercialisation d'au moins 60% de la production accompagnée d'ici la fin du projet.</w:t>
      </w:r>
    </w:p>
    <w:p>
      <w:pPr>
        <w:pStyle w:val="Heading1"/>
        <w:spacing w:after="140" w:before="300"/>
      </w:pPr>
      <w:r>
        <w:t xml:space="preserve">4. Composante numérique transversale</w:t>
      </w:r>
    </w:p>
    <w:p>
      <w:pPr>
        <w:spacing w:after="140"/>
      </w:pPr>
      <w:r>
        <w:t xml:space="preserve">La digitalisation n'est pas une activité isolée mais un axe transversal du projet, avec une plateforme permettant :</w:t>
      </w:r>
    </w:p>
    <w:p>
      <w:pPr>
        <w:pStyle w:val="ListParagraph"/>
        <w:numPr>
          <w:ilvl w:val="0"/>
          <w:numId w:val="2"/>
        </w:numPr>
        <w:spacing w:after="60"/>
      </w:pPr>
      <w:r>
        <w:t xml:space="preserve">l'enregistrement des producteurs et le géoréférencement des parcelles ;</w:t>
      </w:r>
    </w:p>
    <w:p>
      <w:pPr>
        <w:pStyle w:val="ListParagraph"/>
        <w:numPr>
          <w:ilvl w:val="0"/>
          <w:numId w:val="2"/>
        </w:numPr>
        <w:spacing w:after="60"/>
      </w:pPr>
      <w:r>
        <w:t xml:space="preserve">la collecte mobile de données agricoles et le suivi des rendements ;</w:t>
      </w:r>
    </w:p>
    <w:p>
      <w:pPr>
        <w:pStyle w:val="ListParagraph"/>
        <w:numPr>
          <w:ilvl w:val="0"/>
          <w:numId w:val="2"/>
        </w:numPr>
        <w:spacing w:after="60"/>
      </w:pPr>
      <w:r>
        <w:t xml:space="preserve">la diffusion d'alertes agricoles et d'informations sur les prix du marché ;</w:t>
      </w:r>
    </w:p>
    <w:p>
      <w:pPr>
        <w:pStyle w:val="ListParagraph"/>
        <w:numPr>
          <w:ilvl w:val="0"/>
          <w:numId w:val="2"/>
        </w:numPr>
        <w:spacing w:after="60"/>
      </w:pPr>
      <w:r>
        <w:t xml:space="preserve">la génération de tableaux de bord et de rapports d'aide à la décision pour l'équipe projet.</w:t>
      </w:r>
    </w:p>
    <w:p>
      <w:pPr>
        <w:pStyle w:val="Heading1"/>
        <w:spacing w:after="140" w:before="300"/>
      </w:pPr>
      <w:r>
        <w:t xml:space="preserve">5. Budget synthétique par rubrique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shd w:fill="2563EB" w:val="clear"/>
            <w:tcMar>
              <w:top w:type="dxa" w:w="100"/>
              <w:left w:type="dxa" w:w="120"/>
              <w:bottom w:type="dxa" w:w="100"/>
              <w:right w:type="dxa" w:w="120"/>
            </w:tcMar>
          </w:tcPr>
          <w:p>
            <w:r>
              <w:rPr>
                <w:b/>
                <w:bCs/>
                <w:color w:val="FFFFFF"/>
                <w:sz w:val="20"/>
                <w:szCs w:val="20"/>
              </w:rPr>
              <w:t xml:space="preserve">Rubrique</w:t>
            </w:r>
          </w:p>
        </w:tc>
        <w:tc>
          <w:tcPr>
            <w:tcW w:type="pct" w:w="45%"/>
            <w:shd w:fill="2563EB" w:val="clear"/>
            <w:tcMar>
              <w:top w:type="dxa" w:w="100"/>
              <w:left w:type="dxa" w:w="120"/>
              <w:bottom w:type="dxa" w:w="100"/>
              <w:right w:type="dxa" w:w="120"/>
            </w:tcMar>
          </w:tcPr>
          <w:p>
            <w:r>
              <w:rPr>
                <w:b/>
                <w:bCs/>
                <w:color w:val="FFFFFF"/>
                <w:sz w:val="20"/>
                <w:szCs w:val="20"/>
              </w:rPr>
              <w:t xml:space="preserve">Montant (FCFA)</w:t>
            </w:r>
          </w:p>
        </w:tc>
      </w:tr>
      <w:tr>
        <w:tc>
          <w:tcPr>
            <w:tcW w:type="pct" w:w="25%"/>
            <w:tcMar>
              <w:top w:type="dxa" w:w="100"/>
              <w:left w:type="dxa" w:w="120"/>
              <w:bottom w:type="dxa" w:w="100"/>
              <w:right w:type="dxa" w:w="120"/>
            </w:tcMar>
          </w:tcPr>
          <w:p>
            <w:r>
              <w:rPr>
                <w:b w:val="false"/>
                <w:bCs w:val="false"/>
                <w:color w:val="1F2937"/>
                <w:sz w:val="20"/>
                <w:szCs w:val="20"/>
              </w:rPr>
              <w:t xml:space="preserve">Ressources humaines</w:t>
            </w:r>
          </w:p>
        </w:tc>
        <w:tc>
          <w:tcPr>
            <w:tcW w:type="pct" w:w="25%"/>
            <w:tcMar>
              <w:top w:type="dxa" w:w="100"/>
              <w:left w:type="dxa" w:w="120"/>
              <w:bottom w:type="dxa" w:w="100"/>
              <w:right w:type="dxa" w:w="120"/>
            </w:tcMar>
          </w:tcPr>
          <w:p>
            <w:r>
              <w:rPr>
                <w:b w:val="false"/>
                <w:bCs w:val="false"/>
                <w:color w:val="1F2937"/>
                <w:sz w:val="20"/>
                <w:szCs w:val="20"/>
              </w:rPr>
              <w:t xml:space="preserve">183 600 000</w:t>
            </w:r>
          </w:p>
        </w:tc>
      </w:tr>
      <w:tr>
        <w:tc>
          <w:tcPr>
            <w:tcW w:type="pct" w:w="25%"/>
            <w:tcMar>
              <w:top w:type="dxa" w:w="100"/>
              <w:left w:type="dxa" w:w="120"/>
              <w:bottom w:type="dxa" w:w="100"/>
              <w:right w:type="dxa" w:w="120"/>
            </w:tcMar>
          </w:tcPr>
          <w:p>
            <w:r>
              <w:rPr>
                <w:b w:val="false"/>
                <w:bCs w:val="false"/>
                <w:color w:val="1F2937"/>
                <w:sz w:val="20"/>
                <w:szCs w:val="20"/>
              </w:rPr>
              <w:t xml:space="preserve">Formation et renforcement des capacités</w:t>
            </w:r>
          </w:p>
        </w:tc>
        <w:tc>
          <w:tcPr>
            <w:tcW w:type="pct" w:w="25%"/>
            <w:tcMar>
              <w:top w:type="dxa" w:w="100"/>
              <w:left w:type="dxa" w:w="120"/>
              <w:bottom w:type="dxa" w:w="100"/>
              <w:right w:type="dxa" w:w="120"/>
            </w:tcMar>
          </w:tcPr>
          <w:p>
            <w:r>
              <w:rPr>
                <w:b w:val="false"/>
                <w:bCs w:val="false"/>
                <w:color w:val="1F2937"/>
                <w:sz w:val="20"/>
                <w:szCs w:val="20"/>
              </w:rPr>
              <w:t xml:space="preserve">14 750 000</w:t>
            </w:r>
          </w:p>
        </w:tc>
      </w:tr>
      <w:tr>
        <w:tc>
          <w:tcPr>
            <w:tcW w:type="pct" w:w="25%"/>
            <w:tcMar>
              <w:top w:type="dxa" w:w="100"/>
              <w:left w:type="dxa" w:w="120"/>
              <w:bottom w:type="dxa" w:w="100"/>
              <w:right w:type="dxa" w:w="120"/>
            </w:tcMar>
          </w:tcPr>
          <w:p>
            <w:r>
              <w:rPr>
                <w:b w:val="false"/>
                <w:bCs w:val="false"/>
                <w:color w:val="1F2937"/>
                <w:sz w:val="20"/>
                <w:szCs w:val="20"/>
              </w:rPr>
              <w:t xml:space="preserve">Appui à la production</w:t>
            </w:r>
          </w:p>
        </w:tc>
        <w:tc>
          <w:tcPr>
            <w:tcW w:type="pct" w:w="25%"/>
            <w:tcMar>
              <w:top w:type="dxa" w:w="100"/>
              <w:left w:type="dxa" w:w="120"/>
              <w:bottom w:type="dxa" w:w="100"/>
              <w:right w:type="dxa" w:w="120"/>
            </w:tcMar>
          </w:tcPr>
          <w:p>
            <w:r>
              <w:rPr>
                <w:b w:val="false"/>
                <w:bCs w:val="false"/>
                <w:color w:val="1F2937"/>
                <w:sz w:val="20"/>
                <w:szCs w:val="20"/>
              </w:rPr>
              <w:t xml:space="preserve">120 000 000</w:t>
            </w:r>
          </w:p>
        </w:tc>
      </w:tr>
      <w:tr>
        <w:tc>
          <w:tcPr>
            <w:tcW w:type="pct" w:w="25%"/>
            <w:tcMar>
              <w:top w:type="dxa" w:w="100"/>
              <w:left w:type="dxa" w:w="120"/>
              <w:bottom w:type="dxa" w:w="100"/>
              <w:right w:type="dxa" w:w="120"/>
            </w:tcMar>
          </w:tcPr>
          <w:p>
            <w:r>
              <w:rPr>
                <w:b w:val="false"/>
                <w:bCs w:val="false"/>
                <w:color w:val="1F2937"/>
                <w:sz w:val="20"/>
                <w:szCs w:val="20"/>
              </w:rPr>
              <w:t xml:space="preserve">Digitalisation</w:t>
            </w:r>
          </w:p>
        </w:tc>
        <w:tc>
          <w:tcPr>
            <w:tcW w:type="pct" w:w="25%"/>
            <w:tcMar>
              <w:top w:type="dxa" w:w="100"/>
              <w:left w:type="dxa" w:w="120"/>
              <w:bottom w:type="dxa" w:w="100"/>
              <w:right w:type="dxa" w:w="120"/>
            </w:tcMar>
          </w:tcPr>
          <w:p>
            <w:r>
              <w:rPr>
                <w:b w:val="false"/>
                <w:bCs w:val="false"/>
                <w:color w:val="1F2937"/>
                <w:sz w:val="20"/>
                <w:szCs w:val="20"/>
              </w:rPr>
              <w:t xml:space="preserve">63 500 000</w:t>
            </w:r>
          </w:p>
        </w:tc>
      </w:tr>
      <w:tr>
        <w:tc>
          <w:tcPr>
            <w:tcW w:type="pct" w:w="25%"/>
            <w:tcMar>
              <w:top w:type="dxa" w:w="100"/>
              <w:left w:type="dxa" w:w="120"/>
              <w:bottom w:type="dxa" w:w="100"/>
              <w:right w:type="dxa" w:w="120"/>
            </w:tcMar>
          </w:tcPr>
          <w:p>
            <w:r>
              <w:rPr>
                <w:b w:val="false"/>
                <w:bCs w:val="false"/>
                <w:color w:val="1F2937"/>
                <w:sz w:val="20"/>
                <w:szCs w:val="20"/>
              </w:rPr>
              <w:t xml:space="preserve">Commercialisation</w:t>
            </w:r>
          </w:p>
        </w:tc>
        <w:tc>
          <w:tcPr>
            <w:tcW w:type="pct" w:w="25%"/>
            <w:tcMar>
              <w:top w:type="dxa" w:w="100"/>
              <w:left w:type="dxa" w:w="120"/>
              <w:bottom w:type="dxa" w:w="100"/>
              <w:right w:type="dxa" w:w="120"/>
            </w:tcMar>
          </w:tcPr>
          <w:p>
            <w:r>
              <w:rPr>
                <w:b w:val="false"/>
                <w:bCs w:val="false"/>
                <w:color w:val="1F2937"/>
                <w:sz w:val="20"/>
                <w:szCs w:val="20"/>
              </w:rPr>
              <w:t xml:space="preserve">20 000 000</w:t>
            </w:r>
          </w:p>
        </w:tc>
      </w:tr>
      <w:tr>
        <w:tc>
          <w:tcPr>
            <w:tcW w:type="pct" w:w="25%"/>
            <w:tcMar>
              <w:top w:type="dxa" w:w="100"/>
              <w:left w:type="dxa" w:w="120"/>
              <w:bottom w:type="dxa" w:w="100"/>
              <w:right w:type="dxa" w:w="120"/>
            </w:tcMar>
          </w:tcPr>
          <w:p>
            <w:r>
              <w:rPr>
                <w:b w:val="false"/>
                <w:bCs w:val="false"/>
                <w:color w:val="1F2937"/>
                <w:sz w:val="20"/>
                <w:szCs w:val="20"/>
              </w:rPr>
              <w:t xml:space="preserve">Suivi-évaluation</w:t>
            </w:r>
          </w:p>
        </w:tc>
        <w:tc>
          <w:tcPr>
            <w:tcW w:type="pct" w:w="25%"/>
            <w:tcMar>
              <w:top w:type="dxa" w:w="100"/>
              <w:left w:type="dxa" w:w="120"/>
              <w:bottom w:type="dxa" w:w="100"/>
              <w:right w:type="dxa" w:w="120"/>
            </w:tcMar>
          </w:tcPr>
          <w:p>
            <w:r>
              <w:rPr>
                <w:b w:val="false"/>
                <w:bCs w:val="false"/>
                <w:color w:val="1F2937"/>
                <w:sz w:val="20"/>
                <w:szCs w:val="20"/>
              </w:rPr>
              <w:t xml:space="preserve">27 000 000</w:t>
            </w:r>
          </w:p>
        </w:tc>
      </w:tr>
      <w:tr>
        <w:tc>
          <w:tcPr>
            <w:tcW w:type="pct" w:w="25%"/>
            <w:tcMar>
              <w:top w:type="dxa" w:w="100"/>
              <w:left w:type="dxa" w:w="120"/>
              <w:bottom w:type="dxa" w:w="100"/>
              <w:right w:type="dxa" w:w="120"/>
            </w:tcMar>
          </w:tcPr>
          <w:p>
            <w:r>
              <w:rPr>
                <w:b w:val="false"/>
                <w:bCs w:val="false"/>
                <w:color w:val="1F2937"/>
                <w:sz w:val="20"/>
                <w:szCs w:val="20"/>
              </w:rPr>
              <w:t xml:space="preserve">Déplacements et missions terrain</w:t>
            </w:r>
          </w:p>
        </w:tc>
        <w:tc>
          <w:tcPr>
            <w:tcW w:type="pct" w:w="25%"/>
            <w:tcMar>
              <w:top w:type="dxa" w:w="100"/>
              <w:left w:type="dxa" w:w="120"/>
              <w:bottom w:type="dxa" w:w="100"/>
              <w:right w:type="dxa" w:w="120"/>
            </w:tcMar>
          </w:tcPr>
          <w:p>
            <w:r>
              <w:rPr>
                <w:b w:val="false"/>
                <w:bCs w:val="false"/>
                <w:color w:val="1F2937"/>
                <w:sz w:val="20"/>
                <w:szCs w:val="20"/>
              </w:rPr>
              <w:t xml:space="preserve">36 300 000</w:t>
            </w:r>
          </w:p>
        </w:tc>
      </w:tr>
      <w:tr>
        <w:tc>
          <w:tcPr>
            <w:tcW w:type="pct" w:w="25%"/>
            <w:shd w:fill="2563EB" w:val="clear"/>
            <w:tcMar>
              <w:top w:type="dxa" w:w="100"/>
              <w:left w:type="dxa" w:w="120"/>
              <w:bottom w:type="dxa" w:w="100"/>
              <w:right w:type="dxa" w:w="120"/>
            </w:tcMar>
          </w:tcPr>
          <w:p>
            <w:r>
              <w:rPr>
                <w:b/>
                <w:bCs/>
                <w:color w:val="FFFFFF"/>
                <w:sz w:val="20"/>
                <w:szCs w:val="20"/>
              </w:rPr>
              <w:t xml:space="preserve">TOTAL</w:t>
            </w:r>
          </w:p>
        </w:tc>
        <w:tc>
          <w:tcPr>
            <w:tcW w:type="pct" w:w="25%"/>
            <w:shd w:fill="2563EB" w:val="clear"/>
            <w:tcMar>
              <w:top w:type="dxa" w:w="100"/>
              <w:left w:type="dxa" w:w="120"/>
              <w:bottom w:type="dxa" w:w="100"/>
              <w:right w:type="dxa" w:w="120"/>
            </w:tcMar>
          </w:tcPr>
          <w:p>
            <w:r>
              <w:rPr>
                <w:b/>
                <w:bCs/>
                <w:color w:val="FFFFFF"/>
                <w:sz w:val="20"/>
                <w:szCs w:val="20"/>
              </w:rPr>
              <w:t xml:space="preserve">465 150 000</w:t>
            </w:r>
          </w:p>
        </w:tc>
      </w:tr>
    </w:tbl>
    <w:p>
      <w:pPr>
        <w:pStyle w:val="Heading1"/>
        <w:spacing w:after="140" w:before="300"/>
      </w:pPr>
      <w:r>
        <w:t xml:space="preserve">6. Principales parties prenantes</w:t>
      </w:r>
    </w:p>
    <w:p>
      <w:pPr>
        <w:pStyle w:val="ListParagraph"/>
        <w:numPr>
          <w:ilvl w:val="0"/>
          <w:numId w:val="2"/>
        </w:numPr>
        <w:spacing w:after="60"/>
      </w:pPr>
      <w:r>
        <w:t xml:space="preserve">Organisations de producteurs de riz de Dagana et Podor (bénéficiaires directs)</w:t>
      </w:r>
    </w:p>
    <w:p>
      <w:pPr>
        <w:pStyle w:val="ListParagraph"/>
        <w:numPr>
          <w:ilvl w:val="0"/>
          <w:numId w:val="2"/>
        </w:numPr>
        <w:spacing w:after="60"/>
      </w:pPr>
      <w:r>
        <w:t xml:space="preserve">Direction Régionale du Développement Rural (DRDR) de Saint-Louis</w:t>
      </w:r>
    </w:p>
    <w:p>
      <w:pPr>
        <w:pStyle w:val="ListParagraph"/>
        <w:numPr>
          <w:ilvl w:val="0"/>
          <w:numId w:val="2"/>
        </w:numPr>
        <w:spacing w:after="60"/>
      </w:pPr>
      <w:r>
        <w:t xml:space="preserve">SAED — Société d'Aménagement et d'Exploitation des Terres du Delta</w:t>
      </w:r>
    </w:p>
    <w:p>
      <w:pPr>
        <w:pStyle w:val="ListParagraph"/>
        <w:numPr>
          <w:ilvl w:val="0"/>
          <w:numId w:val="2"/>
        </w:numPr>
        <w:spacing w:after="60"/>
      </w:pPr>
      <w:r>
        <w:t xml:space="preserve">Collectivités territoriales de Dagana et Podor</w:t>
      </w:r>
    </w:p>
    <w:p>
      <w:pPr>
        <w:pStyle w:val="ListParagraph"/>
        <w:numPr>
          <w:ilvl w:val="0"/>
          <w:numId w:val="2"/>
        </w:numPr>
        <w:spacing w:after="60"/>
      </w:pPr>
      <w:r>
        <w:t xml:space="preserve">Rizeries et transformateurs locaux</w:t>
      </w:r>
    </w:p>
    <w:p>
      <w:pPr>
        <w:pStyle w:val="ListParagraph"/>
        <w:numPr>
          <w:ilvl w:val="0"/>
          <w:numId w:val="2"/>
        </w:numPr>
        <w:spacing w:after="60"/>
      </w:pPr>
      <w:r>
        <w:t xml:space="preserve">Bailleur de fonds partenaire</w:t>
      </w:r>
    </w:p>
    <w:p>
      <w:pPr>
        <w:pStyle w:val="Heading1"/>
        <w:spacing w:after="140" w:before="300"/>
      </w:pPr>
      <w:r>
        <w:t xml:space="preserve">7. Hypothèses et risques</w:t>
      </w:r>
    </w:p>
    <w:p>
      <w:pPr>
        <w:pStyle w:val="ListParagraph"/>
        <w:numPr>
          <w:ilvl w:val="0"/>
          <w:numId w:val="2"/>
        </w:numPr>
        <w:spacing w:after="60"/>
      </w:pPr>
      <w:r>
        <w:t xml:space="preserve">Disponibilité en eau d'irrigation maintenue sur toute la durée du projet</w:t>
      </w:r>
    </w:p>
    <w:p>
      <w:pPr>
        <w:pStyle w:val="ListParagraph"/>
        <w:numPr>
          <w:ilvl w:val="0"/>
          <w:numId w:val="2"/>
        </w:numPr>
        <w:spacing w:after="60"/>
      </w:pPr>
      <w:r>
        <w:t xml:space="preserve">Stabilité des prix des intrants agricoles</w:t>
      </w:r>
    </w:p>
    <w:p>
      <w:pPr>
        <w:pStyle w:val="ListParagraph"/>
        <w:numPr>
          <w:ilvl w:val="0"/>
          <w:numId w:val="2"/>
        </w:numPr>
        <w:spacing w:after="60"/>
      </w:pPr>
      <w:r>
        <w:t xml:space="preserve">Adhésion continue des organisations de producteurs à la démarche de commercialisation groupée</w:t>
      </w:r>
    </w:p>
    <w:p>
      <w:pPr>
        <w:pStyle w:val="ListParagraph"/>
        <w:numPr>
          <w:ilvl w:val="0"/>
          <w:numId w:val="2"/>
        </w:numPr>
        <w:spacing w:after="60"/>
      </w:pPr>
      <w:r>
        <w:t xml:space="preserve">Couverture réseau mobile suffisante dans les zones d'intervention pour la composante numérique</w:t>
      </w:r>
    </w:p>
    <w:p>
      <w:pPr>
        <w:spacing w:before="300"/>
      </w:pPr>
    </w:p>
    <w:p>
      <w:r>
        <w:rPr>
          <w:i/>
          <w:iCs/>
          <w:color w:val="6B7280"/>
          <w:sz w:val="18"/>
          <w:szCs w:val="18"/>
        </w:rPr>
        <w:t xml:space="preserve">Document généré à des fins de démonstration — SuiviProjets.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2026-08-15T17:54:46.732Z</dcterms:created>
  <dcterms:modified xsi:type="dcterms:W3CDTF">2026-08-15T17:54:46.749Z</dcterms:modified>
</cp:coreProperties>
</file>

<file path=docProps/custom.xml><?xml version="1.0" encoding="utf-8"?>
<Properties xmlns="http://schemas.openxmlformats.org/officeDocument/2006/custom-properties" xmlns:vt="http://schemas.openxmlformats.org/officeDocument/2006/docPropsVTypes"/>
</file>