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563EB"/>
          <w:sz w:val="32"/>
          <w:szCs w:val="32"/>
        </w:rPr>
        <w:t xml:space="preserve">RIZAVAL — Cadre logique</w:t>
      </w:r>
    </w:p>
    <w:p>
      <w:pPr>
        <w:spacing w:after="240"/>
        <w:jc w:val="center"/>
      </w:pPr>
      <w:r>
        <w:rPr>
          <w:color w:val="6B7280"/>
          <w:sz w:val="20"/>
          <w:szCs w:val="20"/>
        </w:rPr>
        <w:t xml:space="preserve">Digitalisation et Valorisation de la Riziculture dans la Vallée du Fleuve Sénégal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2563E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Logique d'intervention</w:t>
            </w:r>
          </w:p>
        </w:tc>
        <w:tc>
          <w:tcPr>
            <w:tcW w:type="pct" w:w="25%"/>
            <w:shd w:fill="2563E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Indicateurs</w:t>
            </w:r>
          </w:p>
        </w:tc>
        <w:tc>
          <w:tcPr>
            <w:tcW w:type="pct" w:w="25%"/>
            <w:shd w:fill="2563E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Sources de vérification</w:t>
            </w:r>
          </w:p>
        </w:tc>
        <w:tc>
          <w:tcPr>
            <w:tcW w:type="pct" w:w="20%"/>
            <w:shd w:fill="2563E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Hypothèses</w:t>
            </w:r>
          </w:p>
        </w:tc>
      </w:tr>
      <w:tr>
        <w:tc>
          <w:tcPr>
            <w:tcW w:type="pct" w:w="30%"/>
            <w:shd w:fill="EFF6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2937"/>
                <w:sz w:val="16"/>
                <w:szCs w:val="16"/>
              </w:rPr>
              <w:t xml:space="preserve">OBJECTIF GÉNÉRAL — Contribuer à l'amélioration durable des revenus et de la sécurité alimentaire des producteurs de riz de la vallée du fleuve Sénégal</w:t>
            </w:r>
          </w:p>
        </w:tc>
        <w:tc>
          <w:tcPr>
            <w:tcW w:type="pct" w:w="25%"/>
            <w:shd w:fill="EFF6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2937"/>
                <w:sz w:val="16"/>
                <w:szCs w:val="16"/>
              </w:rPr>
              <w:t xml:space="preserve"/>
            </w:r>
          </w:p>
        </w:tc>
        <w:tc>
          <w:tcPr>
            <w:tcW w:type="pct" w:w="25%"/>
            <w:shd w:fill="EFF6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2937"/>
                <w:sz w:val="16"/>
                <w:szCs w:val="16"/>
              </w:rPr>
              <w:t xml:space="preserve"/>
            </w:r>
          </w:p>
        </w:tc>
        <w:tc>
          <w:tcPr>
            <w:tcW w:type="pct" w:w="20%"/>
            <w:shd w:fill="EFF6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293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30%"/>
            <w:shd w:fill="EFF6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2937"/>
                <w:sz w:val="16"/>
                <w:szCs w:val="16"/>
              </w:rPr>
              <w:t xml:space="preserve">OS1 — Renforcer les capacités techniques et productives de 2 000 producteurs</w:t>
            </w:r>
          </w:p>
        </w:tc>
        <w:tc>
          <w:tcPr>
            <w:tcW w:type="pct" w:w="25%"/>
            <w:shd w:fill="EFF6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2937"/>
                <w:sz w:val="16"/>
                <w:szCs w:val="16"/>
              </w:rPr>
              <w:t xml:space="preserve"/>
            </w:r>
          </w:p>
        </w:tc>
        <w:tc>
          <w:tcPr>
            <w:tcW w:type="pct" w:w="25%"/>
            <w:shd w:fill="EFF6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2937"/>
                <w:sz w:val="16"/>
                <w:szCs w:val="16"/>
              </w:rPr>
              <w:t xml:space="preserve"/>
            </w:r>
          </w:p>
        </w:tc>
        <w:tc>
          <w:tcPr>
            <w:tcW w:type="pct" w:w="20%"/>
            <w:shd w:fill="EFF6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293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R1.1 Les capacités techniques des producteurs sont renforcées</w:t>
            </w:r>
          </w:p>
        </w:tc>
        <w:tc>
          <w:tcPr>
            <w:tcW w:type="pct" w:w="25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Nombre de producteurs formés (cible : 2 000)</w:t>
            </w:r>
          </w:p>
        </w:tc>
        <w:tc>
          <w:tcPr>
            <w:tcW w:type="pct" w:w="25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Fiches de présence formation / plateforme numérique</w:t>
            </w:r>
          </w:p>
        </w:tc>
        <w:tc>
          <w:tcPr>
            <w:tcW w:type="pct" w:w="2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Disponibilité et adhésion des producteurs aux sessions de formation</w:t>
            </w:r>
          </w:p>
        </w:tc>
      </w:tr>
      <w:tr>
        <w:tc>
          <w:tcPr>
            <w:tcW w:type="pct" w:w="3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R1.2 Le rendement moyen du riz paddy est amélioré</w:t>
            </w:r>
          </w:p>
        </w:tc>
        <w:tc>
          <w:tcPr>
            <w:tcW w:type="pct" w:w="25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Rendement moyen (cible : 5,5 t/ha, base 4,2)</w:t>
            </w:r>
          </w:p>
        </w:tc>
        <w:tc>
          <w:tcPr>
            <w:tcW w:type="pct" w:w="25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Enquêtes de rendement / fiches parcelles</w:t>
            </w:r>
          </w:p>
        </w:tc>
        <w:tc>
          <w:tcPr>
            <w:tcW w:type="pct" w:w="2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Disponibilité en eau d'irrigation maintenue</w:t>
            </w:r>
          </w:p>
        </w:tc>
      </w:tr>
      <w:tr>
        <w:tc>
          <w:tcPr>
            <w:tcW w:type="pct" w:w="30%"/>
            <w:shd w:fill="EFF6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2937"/>
                <w:sz w:val="16"/>
                <w:szCs w:val="16"/>
              </w:rPr>
              <w:t xml:space="preserve">OS2 — Déployer une plateforme numérique de suivi agricole</w:t>
            </w:r>
          </w:p>
        </w:tc>
        <w:tc>
          <w:tcPr>
            <w:tcW w:type="pct" w:w="25%"/>
            <w:shd w:fill="EFF6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2937"/>
                <w:sz w:val="16"/>
                <w:szCs w:val="16"/>
              </w:rPr>
              <w:t xml:space="preserve"/>
            </w:r>
          </w:p>
        </w:tc>
        <w:tc>
          <w:tcPr>
            <w:tcW w:type="pct" w:w="25%"/>
            <w:shd w:fill="EFF6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2937"/>
                <w:sz w:val="16"/>
                <w:szCs w:val="16"/>
              </w:rPr>
              <w:t xml:space="preserve"/>
            </w:r>
          </w:p>
        </w:tc>
        <w:tc>
          <w:tcPr>
            <w:tcW w:type="pct" w:w="20%"/>
            <w:shd w:fill="EFF6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293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R2.1 Une plateforme numérique est déployée</w:t>
            </w:r>
          </w:p>
        </w:tc>
        <w:tc>
          <w:tcPr>
            <w:tcW w:type="pct" w:w="25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Producteurs enregistrés (cible : 1 500)</w:t>
            </w:r>
          </w:p>
        </w:tc>
        <w:tc>
          <w:tcPr>
            <w:tcW w:type="pct" w:w="25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Base de données de la plateforme</w:t>
            </w:r>
          </w:p>
        </w:tc>
        <w:tc>
          <w:tcPr>
            <w:tcW w:type="pct" w:w="2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Couverture réseau mobile suffisante</w:t>
            </w:r>
          </w:p>
        </w:tc>
      </w:tr>
      <w:tr>
        <w:tc>
          <w:tcPr>
            <w:tcW w:type="pct" w:w="3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R2.2 Les producteurs reçoivent des informations agricoles</w:t>
            </w:r>
          </w:p>
        </w:tc>
        <w:tc>
          <w:tcPr>
            <w:tcW w:type="pct" w:w="25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Nombre d'alertes envoyées (cible : 12 000)</w:t>
            </w:r>
          </w:p>
        </w:tc>
        <w:tc>
          <w:tcPr>
            <w:tcW w:type="pct" w:w="25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Journal d'envoi de la plateforme</w:t>
            </w:r>
          </w:p>
        </w:tc>
        <w:tc>
          <w:tcPr>
            <w:tcW w:type="pct" w:w="2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Adoption des outils numériques par les producteurs</w:t>
            </w:r>
          </w:p>
        </w:tc>
      </w:tr>
      <w:tr>
        <w:tc>
          <w:tcPr>
            <w:tcW w:type="pct" w:w="30%"/>
            <w:shd w:fill="EFF6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2937"/>
                <w:sz w:val="16"/>
                <w:szCs w:val="16"/>
              </w:rPr>
              <w:t xml:space="preserve">OS3 — Structurer la commercialisation du riz</w:t>
            </w:r>
          </w:p>
        </w:tc>
        <w:tc>
          <w:tcPr>
            <w:tcW w:type="pct" w:w="25%"/>
            <w:shd w:fill="EFF6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2937"/>
                <w:sz w:val="16"/>
                <w:szCs w:val="16"/>
              </w:rPr>
              <w:t xml:space="preserve"/>
            </w:r>
          </w:p>
        </w:tc>
        <w:tc>
          <w:tcPr>
            <w:tcW w:type="pct" w:w="25%"/>
            <w:shd w:fill="EFF6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2937"/>
                <w:sz w:val="16"/>
                <w:szCs w:val="16"/>
              </w:rPr>
              <w:t xml:space="preserve"/>
            </w:r>
          </w:p>
        </w:tc>
        <w:tc>
          <w:tcPr>
            <w:tcW w:type="pct" w:w="20%"/>
            <w:shd w:fill="EFF6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293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R3.1 Des circuits commerciaux structurés sont mis en place</w:t>
            </w:r>
          </w:p>
        </w:tc>
        <w:tc>
          <w:tcPr>
            <w:tcW w:type="pct" w:w="25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Contrats commerciaux établis (cible : 25)</w:t>
            </w:r>
          </w:p>
        </w:tc>
        <w:tc>
          <w:tcPr>
            <w:tcW w:type="pct" w:w="25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Registre des contrats</w:t>
            </w:r>
          </w:p>
        </w:tc>
        <w:tc>
          <w:tcPr>
            <w:tcW w:type="pct" w:w="2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Stabilité de la demande sur le marché local</w:t>
            </w:r>
          </w:p>
        </w:tc>
      </w:tr>
      <w:tr>
        <w:tc>
          <w:tcPr>
            <w:tcW w:type="pct" w:w="3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R3.2 Le volume commercialisé collectivement augmente</w:t>
            </w:r>
          </w:p>
        </w:tc>
        <w:tc>
          <w:tcPr>
            <w:tcW w:type="pct" w:w="25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Quantité commercialisée (cible : 3 000 t)</w:t>
            </w:r>
          </w:p>
        </w:tc>
        <w:tc>
          <w:tcPr>
            <w:tcW w:type="pct" w:w="25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Registre de commercialisation des OP</w:t>
            </w:r>
          </w:p>
        </w:tc>
        <w:tc>
          <w:tcPr>
            <w:tcW w:type="pct" w:w="2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Adhésion continue des OP à la vente groupée</w:t>
            </w:r>
          </w:p>
        </w:tc>
      </w:tr>
    </w:tbl>
    <w:p>
      <w:pPr>
        <w:spacing w:before="240"/>
      </w:pPr>
    </w:p>
    <w:p>
      <w:r>
        <w:rPr>
          <w:i/>
          <w:iCs/>
          <w:color w:val="6B7280"/>
          <w:sz w:val="16"/>
          <w:szCs w:val="16"/>
        </w:rPr>
        <w:t xml:space="preserve">Document généré à des fins de démonstration — SuiviProjets.</w:t>
      </w:r>
    </w:p>
    <w:sectPr>
      <w:pgSz w:w="16838" w:h="11906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2026-08-15T17:55:08.987Z</dcterms:created>
  <dcterms:modified xsi:type="dcterms:W3CDTF">2026-08-15T17:55:08.987Z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