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35C93">
      <w:pPr>
        <w:pStyle w:val="36"/>
      </w:pPr>
      <w:r>
        <w:t>HALAL POLICY</w:t>
      </w:r>
    </w:p>
    <w:p w14:paraId="3B9E8B9D">
      <w:r>
        <w:t>We, AMINRA Company, are committed to ensuring that all products manufactured comply with applicable halal requirements and regulatory standards TCVN 12944:2020, MS 1500:2019.</w:t>
      </w:r>
      <w:r>
        <w:br w:type="textWrapping"/>
      </w:r>
      <w:r>
        <w:br w:type="textWrapping"/>
      </w:r>
      <w:r>
        <w:t>We shall ensure that:</w:t>
      </w:r>
      <w:r>
        <w:br w:type="textWrapping"/>
      </w:r>
      <w:r>
        <w:t>- Only approved halal raw materials, ingredients, and suppliers are used.</w:t>
      </w:r>
      <w:r>
        <w:br w:type="textWrapping"/>
      </w:r>
      <w:r>
        <w:t>- Halal integrity is maintained throughout receiving, storage, processing, packaging, and distribution.</w:t>
      </w:r>
      <w:r>
        <w:br w:type="textWrapping"/>
      </w:r>
      <w:r>
        <w:t>- Cross-contamination with non-halal materials is prevented through effective controls and procedures.</w:t>
      </w:r>
      <w:r>
        <w:br w:type="textWrapping"/>
      </w:r>
      <w:r>
        <w:t>- A Halal Assurance System (HAS) is established, implemented, and maintained.</w:t>
      </w:r>
      <w:r>
        <w:br w:type="textWrapping"/>
      </w:r>
      <w:r>
        <w:t>- Adequate resources, training, and authority are provided to the Internal Halal Committee (IHC) and relevant personnel.</w:t>
      </w:r>
      <w:r>
        <w:br w:type="textWrapping"/>
      </w:r>
      <w:r>
        <w:t>- The effectiveness of halal controls is reviewed and continuously improved.</w:t>
      </w:r>
      <w:r>
        <w:br w:type="textWrapping"/>
      </w:r>
      <w:r>
        <w:t>- This Halal Policy is communicated to all employees and made available to relevant stakeholders.</w:t>
      </w:r>
      <w:r>
        <w:br w:type="textWrapping"/>
      </w:r>
      <w:r>
        <w:br w:type="textWrapping"/>
      </w:r>
      <w:r>
        <w:t>Signed by:</w:t>
      </w:r>
      <w:r>
        <w:br w:type="textWrapping"/>
      </w:r>
      <w:r>
        <w:br w:type="textWrapping"/>
      </w:r>
      <w:r>
        <w:t xml:space="preserve">Name: </w:t>
      </w:r>
      <w:r>
        <w:rPr>
          <w:rFonts w:hint="default"/>
          <w:lang w:val="vi-VN"/>
        </w:rPr>
        <w:t>Khaled Dinh</w:t>
      </w:r>
      <w:r>
        <w:br w:type="textWrapping"/>
      </w:r>
      <w:r>
        <w:t>Designation: Chief Executive Officer</w:t>
      </w:r>
      <w:r>
        <w:br w:type="textWrapping"/>
      </w:r>
      <w:r>
        <w:t>Signature:</w:t>
      </w:r>
      <w:r>
        <w:rPr>
          <w:rFonts w:hint="default"/>
          <w:lang w:val="vi-VN"/>
        </w:rPr>
        <w:t xml:space="preserve"> </w:t>
      </w:r>
      <w:r>
        <w:drawing>
          <wp:inline distT="0" distB="0" distL="114300" distR="114300">
            <wp:extent cx="1535430" cy="824230"/>
            <wp:effectExtent l="0" t="0" r="0" b="0"/>
            <wp:docPr id="1" name="Picture 1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ignatur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543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t>Date:</w:t>
      </w:r>
      <w:r>
        <w:rPr>
          <w:rFonts w:hint="default"/>
          <w:lang w:val="vi-VN"/>
        </w:rPr>
        <w:t xml:space="preserve"> 3/4/2026</w:t>
      </w:r>
      <w:bookmarkStart w:id="0" w:name="_GoBack"/>
      <w:bookmarkEnd w:id="0"/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6A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130</Words>
  <Characters>877</Characters>
  <Lines>0</Lines>
  <Paragraphs>0</Paragraphs>
  <TotalTime>1</TotalTime>
  <ScaleCrop>false</ScaleCrop>
  <LinksUpToDate>false</LinksUpToDate>
  <CharactersWithSpaces>992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Khalid Dinh</cp:lastModifiedBy>
  <dcterms:modified xsi:type="dcterms:W3CDTF">2026-04-02T22:57:03Z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eyJoZGlkIjoiOTk3Y2NkMGM5OTdjMmU0YjgwNTdjNjQ2NGI4ZDVkOGYiLCJ1c2VySWQiOiIxMzkyMjI3NDc4MDgxIn0=</vt:lpwstr>
  </property>
  <property fmtid="{D5CDD505-2E9C-101B-9397-08002B2CF9AE}" pid="3" name="KSOProductBuildVer">
    <vt:lpwstr>1033-12.1.0.25180</vt:lpwstr>
  </property>
  <property fmtid="{D5CDD505-2E9C-101B-9397-08002B2CF9AE}" pid="4" name="ICV">
    <vt:lpwstr>27AE984FB10549D6A273CB13FC89B480_12</vt:lpwstr>
  </property>
</Properties>
</file>