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PACIFIC NORTHWEST ENVIRONMENTAL SERVICES, INC.</w:t>
      </w:r>
    </w:p>
    <w:p/>
    <w:p>
      <w:r>
        <w:t>2024 ANNUAL ENVIRONMENTAL COMPLIANCE REPORT</w:t>
      </w:r>
    </w:p>
    <w:p/>
    <w:p>
      <w:r>
        <w:t>Cascade Industrial Park Facility</w:t>
      </w:r>
    </w:p>
    <w:p>
      <w:r>
        <w:t>7200 Marine View Drive</w:t>
      </w:r>
    </w:p>
    <w:p>
      <w:r>
        <w:t>Tacoma, Washington 98422</w:t>
      </w:r>
    </w:p>
    <w:p/>
    <w:p>
      <w:r>
        <w:t>NPDES Permit No. WA-0024571</w:t>
      </w:r>
    </w:p>
    <w:p>
      <w:r>
        <w:t>Air Quality Permit No. AQ-PSR-2019-0382</w:t>
      </w:r>
    </w:p>
    <w:p>
      <w:r>
        <w:t>RCRA Generator ID WAD 091 837 216</w:t>
      </w:r>
    </w:p>
    <w:p/>
    <w:p>
      <w:r>
        <w:t>Prepared for:</w:t>
      </w:r>
    </w:p>
    <w:p>
      <w:r>
        <w:t>Washington State Department of Ecology</w:t>
      </w:r>
    </w:p>
    <w:p>
      <w:r>
        <w:t>Southwest Regional Office</w:t>
      </w:r>
    </w:p>
    <w:p/>
    <w:p>
      <w:r>
        <w:t>Prepared by:</w:t>
      </w:r>
    </w:p>
    <w:p>
      <w:r>
        <w:t>Pacific Northwest Environmental Services, Inc.</w:t>
      </w:r>
    </w:p>
    <w:p>
      <w:r>
        <w:t>Environmental Compliance Division</w:t>
      </w:r>
    </w:p>
    <w:p/>
    <w:p>
      <w:r>
        <w:t>December 2024</w:t>
      </w:r>
    </w:p>
    <w:p/>
    <w:p/>
    <w:p>
      <w:r>
        <w:t>Executive Summary</w:t>
      </w:r>
    </w:p>
    <w:p/>
    <w:p>
      <w:r>
        <w:t>This Annual Environmental Compliance Report summarizes the environmental monitoring activities, regulatory compliance status, and corrective actions undertaken at the Cascade Industrial Park facility during calendar year 2024. The facility, operated by Pacific Northwest Environmental Services, Inc. (PNWES), occupies 150 acres in Tacoma, Washington and employs approximately 340 personnel across manufacturing, warehousing, and administrative operations.</w:t>
      </w:r>
    </w:p>
    <w:p/>
    <w:p>
      <w:r>
        <w:t>Overall compliance performance for the reporting period was 98.7 percent, calculated as the ratio of compliant monitoring events to total required monitoring events across all media (air, water, and waste). The facility received three minor Notices of Violation from the Department of Ecology during 2024, all of which were addressed through corrective actions completed within the required timeframes.</w:t>
      </w:r>
    </w:p>
    <w:p/>
    <w:p>
      <w:r>
        <w:t>Key accomplishments during 2024 include: a 12 percent reduction in total hazardous waste generation compared to 2023 baseline; successful completion of the Phase II groundwater remediation milestone for benzene contamination in the former solvent storage area; and installation of a regenerative thermal oxidizer (RTO) on Paint Line 3 that reduced volatile organic compound (VOC) emissions by 87 percent.</w:t>
      </w:r>
    </w:p>
    <w:p/>
    <w:p>
      <w:r>
        <w:t>All ambient air monitoring stations recorded pollutant concentrations below National Ambient Air Quality Standards (NAAQS) throughout the reporting period. Effluent discharge quality at all three permitted outfalls consistently met NPDES permit limits with the exception of a single pH exceedance at Outfall 002 in March 2024, which was attributed to an equipment malfunction in the neutralization system and corrected within 48 hours.</w:t>
      </w:r>
    </w:p>
    <w:p/>
    <w:p>
      <w:r>
        <w:t>1. Introduction</w:t>
      </w:r>
    </w:p>
    <w:p/>
    <w:p>
      <w:r>
        <w:t>1.1 Purpose and Scope</w:t>
      </w:r>
    </w:p>
    <w:p/>
    <w:p>
      <w:r>
        <w:t>This report has been prepared in accordance with the requirements of NPDES Permit No. WA-0024571 (Section S9.A), Air Quality Permit No. AQ-PSR-2019-0382 (Condition 12.3), and Washington Administrative Code (WAC) Chapter 173-303 Dangerous Waste Regulations. The report provides a comprehensive summary of environmental monitoring data, compliance status, and corrective actions for the twelve-month period from January 1 through December 31, 2024.</w:t>
      </w:r>
    </w:p>
    <w:p/>
    <w:p>
      <w:r>
        <w:t>1.2 Regulatory Framework</w:t>
      </w:r>
    </w:p>
    <w:p/>
    <w:p>
      <w:r>
        <w:t>Facility operations are regulated under the following federal and state environmental statutes and implementing regulations:</w:t>
      </w:r>
    </w:p>
    <w:p/>
    <w:p>
      <w:r>
        <w:t>The Clean Water Act (CWA), as implemented through the Washington Water Pollution Control Act (RCW 90.48) and the NPDES permit program administered by the Department of Ecology. The facility holds Individual NPDES Permit WA-0024571, which authorizes discharge of treated process wastewater and stormwater from three permitted outfalls to Commencement Bay.</w:t>
      </w:r>
    </w:p>
    <w:p/>
    <w:p>
      <w:r>
        <w:t>The Clean Air Act (CAA), as implemented through the Washington Clean Air Act (RCW 70A.15) and Puget Sound Clean Air Agency (PSCAA) Regulation I. The facility operates under Air Quality Permit AQ-PSR-2019-0382, which establishes emission limits for particulate matter (PM2.5 and PM10), nitrogen oxides (NOx), sulfur dioxide (SO2), and volatile organic compounds (VOCs).</w:t>
      </w:r>
    </w:p>
    <w:p/>
    <w:p>
      <w:r>
        <w:t>The Resource Conservation and Recovery Act (RCRA), as implemented through WAC 173-303 Dangerous Waste Regulations. The facility is classified as a Large Quantity Generator (LQG) under EPA Generator ID WAD 091 837 216.</w:t>
      </w:r>
    </w:p>
    <w:p/>
    <w:p>
      <w:r>
        <w:t>The Comprehensive Environmental Response, Compensation, and Liability Act (CERCLA) and the Washington Model Toxics Control Act (MTCA, RCW 70A.305). A portion of the facility is subject to ongoing remediation under MTCA Agreed Order DE 14-TCPSR-4271 for historical solvent contamination.</w:t>
      </w:r>
    </w:p>
    <w:p/>
    <w:p>
      <w:r>
        <w:t>1.3 Facility Description</w:t>
      </w:r>
    </w:p>
    <w:p/>
    <w:p>
      <w:r>
        <w:t>The Cascade Industrial Park facility is located at 7200 Marine View Drive in Tacoma, Pierce County, Washington (Latitude 47.2629 N, Longitude 122.4443 W). The 150-acre campus includes three manufacturing buildings (Buildings A, B, and C), two warehouses, an administrative office complex, a wastewater treatment plant, a hazardous waste storage facility (HWSF), and approximately 35 acres of stormwater management infrastructure including two retention ponds and an engineered bioswale treatment system.</w:t>
      </w:r>
    </w:p>
    <w:p/>
    <w:p>
      <w:r>
        <w:t>Primary manufacturing operations include metal fabrication (Building A), surface finishing and painting (Building B), and electronic assembly (Building C). The facility operates two shifts per day, five days per week, with occasional weekend operations during peak production periods.</w:t>
      </w:r>
    </w:p>
    <w:p/>
    <w:p>
      <w:r>
        <w:t>2. Air Quality Monitoring</w:t>
      </w:r>
    </w:p>
    <w:p/>
    <w:p>
      <w:r>
        <w:t>2.1 Emission Sources and Controls</w:t>
      </w:r>
    </w:p>
    <w:p/>
    <w:p>
      <w:r>
        <w:t>The facility operates 14 permitted emission units, including three natural gas-fired boilers (EU-01 through EU-03, rated at 25 MMBtu/hr each), two paint spray booths with dry filter particulate controls (EU-04, EU-05), one regenerative thermal oxidizer controlling VOC emissions from Paint Line 3 (EU-06), four parts washers with vapor recovery systems (EU-07 through EU-10), and four fugitive dust sources associated with material handling operations (EU-11 through EU-14). The RTO installed on Paint Line 3 in Q2 2024 achieves a destruction efficiency of 98.2 percent for VOCs, as verified by EPA Method 25A performance testing conducted in June 2024.</w:t>
      </w:r>
    </w:p>
    <w:p/>
    <w:p>
      <w:r>
        <w:t>2.2 Ambient Monitoring Results</w:t>
      </w:r>
    </w:p>
    <w:p/>
    <w:p>
      <w:r>
        <w:t>Three ambient air monitoring stations (AMS-North, AMS-South, and AMS-East) operated continuously during the reporting period. Monthly average concentrations for PM2.5 and NOx are summarized in the following table. As shown in [see Table 1], all monthly averages remained below applicable NAAQS limits (PM2.5 annual standard: 12.0 ug/m3; NOx annual standard not to exceed 53 ppb).</w:t>
      </w:r>
    </w:p>
    <w:p/>
    <w:tbl>
      <w:tblPr>
        <w:tblStyle w:val="TableGrid"/>
        <w:tblW w:type="auto" w:w="0"/>
        <w:tblLook w:firstColumn="1" w:firstRow="1" w:lastColumn="0" w:lastRow="0" w:noHBand="0" w:noVBand="1" w:val="04A0"/>
      </w:tblPr>
      <w:tblGrid>
        <w:gridCol w:w="2880"/>
        <w:gridCol w:w="2880"/>
        <w:gridCol w:w="2880"/>
      </w:tblGrid>
      <w:tr>
        <w:tc>
          <w:tcPr>
            <w:tcW w:type="dxa" w:w="2880"/>
          </w:tcPr>
          <w:p>
            <w:r>
              <w:t>Month</w:t>
            </w:r>
          </w:p>
        </w:tc>
        <w:tc>
          <w:tcPr>
            <w:tcW w:type="dxa" w:w="2880"/>
          </w:tcPr>
          <w:p>
            <w:r>
              <w:t>PM2.5 (ug/m3)</w:t>
            </w:r>
          </w:p>
        </w:tc>
        <w:tc>
          <w:tcPr>
            <w:tcW w:type="dxa" w:w="2880"/>
          </w:tcPr>
          <w:p>
            <w:r>
              <w:t>NOx (ppb)</w:t>
            </w:r>
          </w:p>
        </w:tc>
      </w:tr>
      <w:tr>
        <w:tc>
          <w:tcPr>
            <w:tcW w:type="dxa" w:w="2880"/>
          </w:tcPr>
          <w:p>
            <w:r>
              <w:t>January</w:t>
            </w:r>
          </w:p>
        </w:tc>
        <w:tc>
          <w:tcPr>
            <w:tcW w:type="dxa" w:w="2880"/>
          </w:tcPr>
          <w:p>
            <w:r>
              <w:t>8.4</w:t>
            </w:r>
          </w:p>
        </w:tc>
        <w:tc>
          <w:tcPr>
            <w:tcW w:type="dxa" w:w="2880"/>
          </w:tcPr>
          <w:p>
            <w:r>
              <w:t>31.2</w:t>
            </w:r>
          </w:p>
        </w:tc>
      </w:tr>
      <w:tr>
        <w:tc>
          <w:tcPr>
            <w:tcW w:type="dxa" w:w="2880"/>
          </w:tcPr>
          <w:p>
            <w:r>
              <w:t>February</w:t>
            </w:r>
          </w:p>
        </w:tc>
        <w:tc>
          <w:tcPr>
            <w:tcW w:type="dxa" w:w="2880"/>
          </w:tcPr>
          <w:p>
            <w:r>
              <w:t>7.9</w:t>
            </w:r>
          </w:p>
        </w:tc>
        <w:tc>
          <w:tcPr>
            <w:tcW w:type="dxa" w:w="2880"/>
          </w:tcPr>
          <w:p>
            <w:r>
              <w:t>28.7</w:t>
            </w:r>
          </w:p>
        </w:tc>
      </w:tr>
      <w:tr>
        <w:tc>
          <w:tcPr>
            <w:tcW w:type="dxa" w:w="2880"/>
          </w:tcPr>
          <w:p>
            <w:r>
              <w:t>March</w:t>
            </w:r>
          </w:p>
        </w:tc>
        <w:tc>
          <w:tcPr>
            <w:tcW w:type="dxa" w:w="2880"/>
          </w:tcPr>
          <w:p>
            <w:r>
              <w:t>9.1</w:t>
            </w:r>
          </w:p>
        </w:tc>
        <w:tc>
          <w:tcPr>
            <w:tcW w:type="dxa" w:w="2880"/>
          </w:tcPr>
          <w:p>
            <w:r>
              <w:t>33.4</w:t>
            </w:r>
          </w:p>
        </w:tc>
      </w:tr>
      <w:tr>
        <w:tc>
          <w:tcPr>
            <w:tcW w:type="dxa" w:w="2880"/>
          </w:tcPr>
          <w:p>
            <w:r>
              <w:t>April</w:t>
            </w:r>
          </w:p>
        </w:tc>
        <w:tc>
          <w:tcPr>
            <w:tcW w:type="dxa" w:w="2880"/>
          </w:tcPr>
          <w:p>
            <w:r>
              <w:t>7.2</w:t>
            </w:r>
          </w:p>
        </w:tc>
        <w:tc>
          <w:tcPr>
            <w:tcW w:type="dxa" w:w="2880"/>
          </w:tcPr>
          <w:p>
            <w:r>
              <w:t>26.8</w:t>
            </w:r>
          </w:p>
        </w:tc>
      </w:tr>
      <w:tr>
        <w:tc>
          <w:tcPr>
            <w:tcW w:type="dxa" w:w="2880"/>
          </w:tcPr>
          <w:p>
            <w:r>
              <w:t>May</w:t>
            </w:r>
          </w:p>
        </w:tc>
        <w:tc>
          <w:tcPr>
            <w:tcW w:type="dxa" w:w="2880"/>
          </w:tcPr>
          <w:p>
            <w:r>
              <w:t>6.8</w:t>
            </w:r>
          </w:p>
        </w:tc>
        <w:tc>
          <w:tcPr>
            <w:tcW w:type="dxa" w:w="2880"/>
          </w:tcPr>
          <w:p>
            <w:r>
              <w:t>24.1</w:t>
            </w:r>
          </w:p>
        </w:tc>
      </w:tr>
      <w:tr>
        <w:tc>
          <w:tcPr>
            <w:tcW w:type="dxa" w:w="2880"/>
          </w:tcPr>
          <w:p>
            <w:r>
              <w:t>June</w:t>
            </w:r>
          </w:p>
        </w:tc>
        <w:tc>
          <w:tcPr>
            <w:tcW w:type="dxa" w:w="2880"/>
          </w:tcPr>
          <w:p>
            <w:r>
              <w:t>5.9</w:t>
            </w:r>
          </w:p>
        </w:tc>
        <w:tc>
          <w:tcPr>
            <w:tcW w:type="dxa" w:w="2880"/>
          </w:tcPr>
          <w:p>
            <w:r>
              <w:t>21.3</w:t>
            </w:r>
          </w:p>
        </w:tc>
      </w:tr>
      <w:tr>
        <w:tc>
          <w:tcPr>
            <w:tcW w:type="dxa" w:w="2880"/>
          </w:tcPr>
          <w:p>
            <w:r>
              <w:t>July</w:t>
            </w:r>
          </w:p>
        </w:tc>
        <w:tc>
          <w:tcPr>
            <w:tcW w:type="dxa" w:w="2880"/>
          </w:tcPr>
          <w:p>
            <w:r>
              <w:t>8.3</w:t>
            </w:r>
          </w:p>
        </w:tc>
        <w:tc>
          <w:tcPr>
            <w:tcW w:type="dxa" w:w="2880"/>
          </w:tcPr>
          <w:p>
            <w:r>
              <w:t>19.8</w:t>
            </w:r>
          </w:p>
        </w:tc>
      </w:tr>
      <w:tr>
        <w:tc>
          <w:tcPr>
            <w:tcW w:type="dxa" w:w="2880"/>
          </w:tcPr>
          <w:p>
            <w:r>
              <w:t>August</w:t>
            </w:r>
          </w:p>
        </w:tc>
        <w:tc>
          <w:tcPr>
            <w:tcW w:type="dxa" w:w="2880"/>
          </w:tcPr>
          <w:p>
            <w:r>
              <w:t>10.7</w:t>
            </w:r>
          </w:p>
        </w:tc>
        <w:tc>
          <w:tcPr>
            <w:tcW w:type="dxa" w:w="2880"/>
          </w:tcPr>
          <w:p>
            <w:r>
              <w:t>22.4</w:t>
            </w:r>
          </w:p>
        </w:tc>
      </w:tr>
      <w:tr>
        <w:tc>
          <w:tcPr>
            <w:tcW w:type="dxa" w:w="2880"/>
          </w:tcPr>
          <w:p>
            <w:r>
              <w:t>September</w:t>
            </w:r>
          </w:p>
        </w:tc>
        <w:tc>
          <w:tcPr>
            <w:tcW w:type="dxa" w:w="2880"/>
          </w:tcPr>
          <w:p>
            <w:r>
              <w:t>9.2</w:t>
            </w:r>
          </w:p>
        </w:tc>
        <w:tc>
          <w:tcPr>
            <w:tcW w:type="dxa" w:w="2880"/>
          </w:tcPr>
          <w:p>
            <w:r>
              <w:t>25.6</w:t>
            </w:r>
          </w:p>
        </w:tc>
      </w:tr>
      <w:tr>
        <w:tc>
          <w:tcPr>
            <w:tcW w:type="dxa" w:w="2880"/>
          </w:tcPr>
          <w:p>
            <w:r>
              <w:t>October</w:t>
            </w:r>
          </w:p>
        </w:tc>
        <w:tc>
          <w:tcPr>
            <w:tcW w:type="dxa" w:w="2880"/>
          </w:tcPr>
          <w:p>
            <w:r>
              <w:t>7.6</w:t>
            </w:r>
          </w:p>
        </w:tc>
        <w:tc>
          <w:tcPr>
            <w:tcW w:type="dxa" w:w="2880"/>
          </w:tcPr>
          <w:p>
            <w:r>
              <w:t>29.3</w:t>
            </w:r>
          </w:p>
        </w:tc>
      </w:tr>
      <w:tr>
        <w:tc>
          <w:tcPr>
            <w:tcW w:type="dxa" w:w="2880"/>
          </w:tcPr>
          <w:p>
            <w:r>
              <w:t>November</w:t>
            </w:r>
          </w:p>
        </w:tc>
        <w:tc>
          <w:tcPr>
            <w:tcW w:type="dxa" w:w="2880"/>
          </w:tcPr>
          <w:p>
            <w:r>
              <w:t>8.1</w:t>
            </w:r>
          </w:p>
        </w:tc>
        <w:tc>
          <w:tcPr>
            <w:tcW w:type="dxa" w:w="2880"/>
          </w:tcPr>
          <w:p>
            <w:r>
              <w:t>32.1</w:t>
            </w:r>
          </w:p>
        </w:tc>
      </w:tr>
      <w:tr>
        <w:tc>
          <w:tcPr>
            <w:tcW w:type="dxa" w:w="2880"/>
          </w:tcPr>
          <w:p>
            <w:r>
              <w:t>December</w:t>
            </w:r>
          </w:p>
        </w:tc>
        <w:tc>
          <w:tcPr>
            <w:tcW w:type="dxa" w:w="2880"/>
          </w:tcPr>
          <w:p>
            <w:r>
              <w:t>8.8</w:t>
            </w:r>
          </w:p>
        </w:tc>
        <w:tc>
          <w:tcPr>
            <w:tcW w:type="dxa" w:w="2880"/>
          </w:tcPr>
          <w:p>
            <w:r>
              <w:t>34.7</w:t>
            </w:r>
          </w:p>
        </w:tc>
      </w:tr>
    </w:tbl>
    <w:p/>
    <w:p>
      <w:r>
        <w:t>2.3 Compliance Status</w:t>
      </w:r>
    </w:p>
    <w:p/>
    <w:p>
      <w:r>
        <w:t>All emission units operated within permitted limits throughout the reporting period. Stack testing conducted in accordance with 40 CFR Part 60 confirmed compliance for all tested units. The annual emissions trend is shown in [see Figure 1] below.</w:t>
      </w:r>
    </w:p>
    <w:p/>
    <w:p>
      <w:r>
        <w:drawing>
          <wp:inline xmlns:a="http://schemas.openxmlformats.org/drawingml/2006/main" xmlns:pic="http://schemas.openxmlformats.org/drawingml/2006/picture">
            <wp:extent cx="4572000" cy="4762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76250"/>
                    </a:xfrm>
                    <a:prstGeom prst="rect"/>
                  </pic:spPr>
                </pic:pic>
              </a:graphicData>
            </a:graphic>
          </wp:inline>
        </w:drawing>
      </w:r>
    </w:p>
    <w:p/>
    <w:p>
      <w:r>
        <w:t>3. Water Quality and Stormwater Management</w:t>
      </w:r>
    </w:p>
    <w:p/>
    <w:p>
      <w:r>
        <w:t>3.1 Discharge Monitoring</w:t>
      </w:r>
    </w:p>
    <w:p/>
    <w:p>
      <w:r>
        <w:t>The facility discharges treated process wastewater and stormwater through three NPDES-permitted outfalls. Outfall 001 receives treated process wastewater from the on-site wastewater treatment plant (WWTP). Outfall 002 receives non-contact cooling water from the manufacturing buildings. Outfall 003 receives stormwater runoff from the western parking lot and loading dock area after passage through the engineered bioswale treatment system.</w:t>
      </w:r>
    </w:p>
    <w:p/>
    <w:p>
      <w:r>
        <w:t>3.2 Effluent Monitoring Data</w:t>
      </w:r>
    </w:p>
    <w:p/>
    <w:p>
      <w:r>
        <w:t>Quarterly composite sampling results for Outfall 001 are presented in [see Table 2]. With the exception of the March 2024 pH exceedance (pH 5.8, below the permit minimum of 6.0), all parameters met NPDES permit limits throughout the year.</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Quarter</w:t>
            </w:r>
          </w:p>
        </w:tc>
        <w:tc>
          <w:tcPr>
            <w:tcW w:type="dxa" w:w="1728"/>
          </w:tcPr>
          <w:p>
            <w:r>
              <w:t>BOD5 (mg/L)</w:t>
            </w:r>
          </w:p>
        </w:tc>
        <w:tc>
          <w:tcPr>
            <w:tcW w:type="dxa" w:w="1728"/>
          </w:tcPr>
          <w:p>
            <w:r>
              <w:t>TSS (mg/L)</w:t>
            </w:r>
          </w:p>
        </w:tc>
        <w:tc>
          <w:tcPr>
            <w:tcW w:type="dxa" w:w="1728"/>
          </w:tcPr>
          <w:p>
            <w:r>
              <w:t>pH</w:t>
            </w:r>
          </w:p>
        </w:tc>
        <w:tc>
          <w:tcPr>
            <w:tcW w:type="dxa" w:w="1728"/>
          </w:tcPr>
          <w:p>
            <w:r>
              <w:t>Oil &amp; Grease (mg/L)</w:t>
            </w:r>
          </w:p>
        </w:tc>
      </w:tr>
      <w:tr>
        <w:tc>
          <w:tcPr>
            <w:tcW w:type="dxa" w:w="1728"/>
          </w:tcPr>
          <w:p>
            <w:r>
              <w:t>Q1 2024</w:t>
            </w:r>
          </w:p>
        </w:tc>
        <w:tc>
          <w:tcPr>
            <w:tcW w:type="dxa" w:w="1728"/>
          </w:tcPr>
          <w:p>
            <w:r>
              <w:t>18.3</w:t>
            </w:r>
          </w:p>
        </w:tc>
        <w:tc>
          <w:tcPr>
            <w:tcW w:type="dxa" w:w="1728"/>
          </w:tcPr>
          <w:p>
            <w:r>
              <w:t>22.1</w:t>
            </w:r>
          </w:p>
        </w:tc>
        <w:tc>
          <w:tcPr>
            <w:tcW w:type="dxa" w:w="1728"/>
          </w:tcPr>
          <w:p>
            <w:r>
              <w:t>5.8*</w:t>
            </w:r>
          </w:p>
        </w:tc>
        <w:tc>
          <w:tcPr>
            <w:tcW w:type="dxa" w:w="1728"/>
          </w:tcPr>
          <w:p>
            <w:r>
              <w:t>4.2</w:t>
            </w:r>
          </w:p>
        </w:tc>
      </w:tr>
      <w:tr>
        <w:tc>
          <w:tcPr>
            <w:tcW w:type="dxa" w:w="1728"/>
          </w:tcPr>
          <w:p>
            <w:r>
              <w:t>Q2 2024</w:t>
            </w:r>
          </w:p>
        </w:tc>
        <w:tc>
          <w:tcPr>
            <w:tcW w:type="dxa" w:w="1728"/>
          </w:tcPr>
          <w:p>
            <w:r>
              <w:t>14.7</w:t>
            </w:r>
          </w:p>
        </w:tc>
        <w:tc>
          <w:tcPr>
            <w:tcW w:type="dxa" w:w="1728"/>
          </w:tcPr>
          <w:p>
            <w:r>
              <w:t>19.8</w:t>
            </w:r>
          </w:p>
        </w:tc>
        <w:tc>
          <w:tcPr>
            <w:tcW w:type="dxa" w:w="1728"/>
          </w:tcPr>
          <w:p>
            <w:r>
              <w:t>7.2</w:t>
            </w:r>
          </w:p>
        </w:tc>
        <w:tc>
          <w:tcPr>
            <w:tcW w:type="dxa" w:w="1728"/>
          </w:tcPr>
          <w:p>
            <w:r>
              <w:t>3.8</w:t>
            </w:r>
          </w:p>
        </w:tc>
      </w:tr>
      <w:tr>
        <w:tc>
          <w:tcPr>
            <w:tcW w:type="dxa" w:w="1728"/>
          </w:tcPr>
          <w:p>
            <w:r>
              <w:t>Q3 2024</w:t>
            </w:r>
          </w:p>
        </w:tc>
        <w:tc>
          <w:tcPr>
            <w:tcW w:type="dxa" w:w="1728"/>
          </w:tcPr>
          <w:p>
            <w:r>
              <w:t>16.2</w:t>
            </w:r>
          </w:p>
        </w:tc>
        <w:tc>
          <w:tcPr>
            <w:tcW w:type="dxa" w:w="1728"/>
          </w:tcPr>
          <w:p>
            <w:r>
              <w:t>21.4</w:t>
            </w:r>
          </w:p>
        </w:tc>
        <w:tc>
          <w:tcPr>
            <w:tcW w:type="dxa" w:w="1728"/>
          </w:tcPr>
          <w:p>
            <w:r>
              <w:t>7.0</w:t>
            </w:r>
          </w:p>
        </w:tc>
        <w:tc>
          <w:tcPr>
            <w:tcW w:type="dxa" w:w="1728"/>
          </w:tcPr>
          <w:p>
            <w:r>
              <w:t>4.5</w:t>
            </w:r>
          </w:p>
        </w:tc>
      </w:tr>
      <w:tr>
        <w:tc>
          <w:tcPr>
            <w:tcW w:type="dxa" w:w="1728"/>
          </w:tcPr>
          <w:p>
            <w:r>
              <w:t>Q4 2024</w:t>
            </w:r>
          </w:p>
        </w:tc>
        <w:tc>
          <w:tcPr>
            <w:tcW w:type="dxa" w:w="1728"/>
          </w:tcPr>
          <w:p>
            <w:r>
              <w:t>15.1</w:t>
            </w:r>
          </w:p>
        </w:tc>
        <w:tc>
          <w:tcPr>
            <w:tcW w:type="dxa" w:w="1728"/>
          </w:tcPr>
          <w:p>
            <w:r>
              <w:t>18.6</w:t>
            </w:r>
          </w:p>
        </w:tc>
        <w:tc>
          <w:tcPr>
            <w:tcW w:type="dxa" w:w="1728"/>
          </w:tcPr>
          <w:p>
            <w:r>
              <w:t>7.1</w:t>
            </w:r>
          </w:p>
        </w:tc>
        <w:tc>
          <w:tcPr>
            <w:tcW w:type="dxa" w:w="1728"/>
          </w:tcPr>
          <w:p>
            <w:r>
              <w:t>3.6</w:t>
            </w:r>
          </w:p>
        </w:tc>
      </w:tr>
    </w:tbl>
    <w:p>
      <w:r>
        <w:t>* Exceedance of NPDES permit minimum pH limit (6.0)</w:t>
      </w:r>
    </w:p>
    <w:p/>
    <w:p>
      <w:r>
        <w:t>3.3 Stormwater BMP Effectiveness</w:t>
      </w:r>
    </w:p>
    <w:p/>
    <w:p>
      <w:r>
        <w:t>The site drainage infrastructure and best management practices (BMPs) are illustrated in [see Figure 2]. Stormwater monitoring at Outfall 003 during the four quarterly sampling events demonstrated TSS removal efficiency averaging 82 percent through the bioswale system, exceeding the 80 percent benchmark established in the facility's Stormwater Pollution Prevention Plan (SWPPP). The bioswale was expanded in Q3 2024 to accommodate increased runoff from the newly paved employee parking area.</w:t>
      </w:r>
    </w:p>
    <w:p/>
    <w:p>
      <w:r>
        <w:drawing>
          <wp:inline xmlns:a="http://schemas.openxmlformats.org/drawingml/2006/main" xmlns:pic="http://schemas.openxmlformats.org/drawingml/2006/picture">
            <wp:extent cx="4572000" cy="47625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76250"/>
                    </a:xfrm>
                    <a:prstGeom prst="rect"/>
                  </pic:spPr>
                </pic:pic>
              </a:graphicData>
            </a:graphic>
          </wp:inline>
        </w:drawing>
      </w:r>
    </w:p>
    <w:p/>
    <w:p>
      <w:r>
        <w:t>4. Waste Management</w:t>
      </w:r>
    </w:p>
    <w:p/>
    <w:p>
      <w:r>
        <w:t>4.1 Hazardous Waste Generation</w:t>
      </w:r>
    </w:p>
    <w:p/>
    <w:p>
      <w:r>
        <w:t>The facility generated a total of 47.3 tons of hazardous waste during 2024, a 12 percent reduction from the 53.8 tons generated in 2023. Waste stream details are provided in [see Table 3]. All hazardous waste was manifested and shipped to permitted Treatment, Storage, and Disposal Facilities (TSDFs) within the 90-day accumulation period required by WAC 173-303-200.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Waste Stream</w:t>
            </w:r>
          </w:p>
        </w:tc>
        <w:tc>
          <w:tcPr>
            <w:tcW w:type="dxa" w:w="2160"/>
          </w:tcPr>
          <w:p>
            <w:r>
              <w:t>RCRA Code</w:t>
            </w:r>
          </w:p>
        </w:tc>
        <w:tc>
          <w:tcPr>
            <w:tcW w:type="dxa" w:w="2160"/>
          </w:tcPr>
          <w:p>
            <w:r>
              <w:t>Quantity (tons)</w:t>
            </w:r>
          </w:p>
        </w:tc>
        <w:tc>
          <w:tcPr>
            <w:tcW w:type="dxa" w:w="2160"/>
          </w:tcPr>
          <w:p>
            <w:r>
              <w:t>Disposal Method</w:t>
            </w:r>
          </w:p>
        </w:tc>
      </w:tr>
      <w:tr>
        <w:tc>
          <w:tcPr>
            <w:tcW w:type="dxa" w:w="2160"/>
          </w:tcPr>
          <w:p>
            <w:r>
              <w:t>Spent halogenated solvents</w:t>
            </w:r>
          </w:p>
        </w:tc>
        <w:tc>
          <w:tcPr>
            <w:tcW w:type="dxa" w:w="2160"/>
          </w:tcPr>
          <w:p>
            <w:r>
              <w:t>F001</w:t>
            </w:r>
          </w:p>
        </w:tc>
        <w:tc>
          <w:tcPr>
            <w:tcW w:type="dxa" w:w="2160"/>
          </w:tcPr>
          <w:p>
            <w:r>
              <w:t>12.4</w:t>
            </w:r>
          </w:p>
        </w:tc>
        <w:tc>
          <w:tcPr>
            <w:tcW w:type="dxa" w:w="2160"/>
          </w:tcPr>
          <w:p>
            <w:r>
              <w:t>Fuel blending</w:t>
            </w:r>
          </w:p>
        </w:tc>
      </w:tr>
      <w:tr>
        <w:tc>
          <w:tcPr>
            <w:tcW w:type="dxa" w:w="2160"/>
          </w:tcPr>
          <w:p>
            <w:r>
              <w:t>Chromium-bearing sludge</w:t>
            </w:r>
          </w:p>
        </w:tc>
        <w:tc>
          <w:tcPr>
            <w:tcW w:type="dxa" w:w="2160"/>
          </w:tcPr>
          <w:p>
            <w:r>
              <w:t>D007</w:t>
            </w:r>
          </w:p>
        </w:tc>
        <w:tc>
          <w:tcPr>
            <w:tcW w:type="dxa" w:w="2160"/>
          </w:tcPr>
          <w:p>
            <w:r>
              <w:t>8.7</w:t>
            </w:r>
          </w:p>
        </w:tc>
        <w:tc>
          <w:tcPr>
            <w:tcW w:type="dxa" w:w="2160"/>
          </w:tcPr>
          <w:p>
            <w:r>
              <w:t>Stabilization/landfill</w:t>
            </w:r>
          </w:p>
        </w:tc>
      </w:tr>
      <w:tr>
        <w:tc>
          <w:tcPr>
            <w:tcW w:type="dxa" w:w="2160"/>
          </w:tcPr>
          <w:p>
            <w:r>
              <w:t>Paint waste (ignitable)</w:t>
            </w:r>
          </w:p>
        </w:tc>
        <w:tc>
          <w:tcPr>
            <w:tcW w:type="dxa" w:w="2160"/>
          </w:tcPr>
          <w:p>
            <w:r>
              <w:t>D001</w:t>
            </w:r>
          </w:p>
        </w:tc>
        <w:tc>
          <w:tcPr>
            <w:tcW w:type="dxa" w:w="2160"/>
          </w:tcPr>
          <w:p>
            <w:r>
              <w:t>11.2</w:t>
            </w:r>
          </w:p>
        </w:tc>
        <w:tc>
          <w:tcPr>
            <w:tcW w:type="dxa" w:w="2160"/>
          </w:tcPr>
          <w:p>
            <w:r>
              <w:t>Incineration</w:t>
            </w:r>
          </w:p>
        </w:tc>
      </w:tr>
      <w:tr>
        <w:tc>
          <w:tcPr>
            <w:tcW w:type="dxa" w:w="2160"/>
          </w:tcPr>
          <w:p>
            <w:r>
              <w:t>Spent acid solutions</w:t>
            </w:r>
          </w:p>
        </w:tc>
        <w:tc>
          <w:tcPr>
            <w:tcW w:type="dxa" w:w="2160"/>
          </w:tcPr>
          <w:p>
            <w:r>
              <w:t>D002</w:t>
            </w:r>
          </w:p>
        </w:tc>
        <w:tc>
          <w:tcPr>
            <w:tcW w:type="dxa" w:w="2160"/>
          </w:tcPr>
          <w:p>
            <w:r>
              <w:t>6.8</w:t>
            </w:r>
          </w:p>
        </w:tc>
        <w:tc>
          <w:tcPr>
            <w:tcW w:type="dxa" w:w="2160"/>
          </w:tcPr>
          <w:p>
            <w:r>
              <w:t>Neutralization/treatment</w:t>
            </w:r>
          </w:p>
        </w:tc>
      </w:tr>
      <w:tr>
        <w:tc>
          <w:tcPr>
            <w:tcW w:type="dxa" w:w="2160"/>
          </w:tcPr>
          <w:p>
            <w:r>
              <w:t>Waste trichloroethylene</w:t>
            </w:r>
          </w:p>
        </w:tc>
        <w:tc>
          <w:tcPr>
            <w:tcW w:type="dxa" w:w="2160"/>
          </w:tcPr>
          <w:p>
            <w:r>
              <w:t>F001/U228</w:t>
            </w:r>
          </w:p>
        </w:tc>
        <w:tc>
          <w:tcPr>
            <w:tcW w:type="dxa" w:w="2160"/>
          </w:tcPr>
          <w:p>
            <w:r>
              <w:t>4.1</w:t>
            </w:r>
          </w:p>
        </w:tc>
        <w:tc>
          <w:tcPr>
            <w:tcW w:type="dxa" w:w="2160"/>
          </w:tcPr>
          <w:p>
            <w:r>
              <w:t>Solvent recovery</w:t>
            </w:r>
          </w:p>
        </w:tc>
      </w:tr>
      <w:tr>
        <w:tc>
          <w:tcPr>
            <w:tcW w:type="dxa" w:w="2160"/>
          </w:tcPr>
          <w:p>
            <w:r>
              <w:t>Mixed metal hydroxide sludge</w:t>
            </w:r>
          </w:p>
        </w:tc>
        <w:tc>
          <w:tcPr>
            <w:tcW w:type="dxa" w:w="2160"/>
          </w:tcPr>
          <w:p>
            <w:r>
              <w:t>D006/D007</w:t>
            </w:r>
          </w:p>
        </w:tc>
        <w:tc>
          <w:tcPr>
            <w:tcW w:type="dxa" w:w="2160"/>
          </w:tcPr>
          <w:p>
            <w:r>
              <w:t>4.1</w:t>
            </w:r>
          </w:p>
        </w:tc>
        <w:tc>
          <w:tcPr>
            <w:tcW w:type="dxa" w:w="2160"/>
          </w:tcPr>
          <w:p>
            <w:r>
              <w:t>Stabilization/landfill</w:t>
            </w:r>
          </w:p>
        </w:tc>
      </w:tr>
    </w:tbl>
    <w:p/>
    <w:p>
      <w:r>
        <w:t>4.2 Waste Minimization Initiatives</w:t>
      </w:r>
    </w:p>
    <w:p/>
    <w:p>
      <w:r>
        <w:t>The facility implemented three waste minimization projects during 2024 as part of the five-year Pollution Prevention Plan required under WAC 173-307. First, the solvent recovery system on Paint Line 2 was upgraded from a single-stage to a double-stage distillation unit, increasing solvent recovery rate from 68 percent to 91 percent and reducing F001 waste generation by approximately 3.2 tons per year. Second, the chromium plating bath in Building A was converted from hexavalent chromium (Cr VI) to trivalent chromium (Cr III), eliminating D007 waste from that process line. Third, Building C transitioned from solvent-based conformal coatings to UV-curable alternatives, eliminating VOC emissions and associated D001 waste from electronic assembly operations.</w:t>
      </w:r>
    </w:p>
    <w:p/>
    <w:p>
      <w:r>
        <w:t>4.3 Storage and Disposal Compliance</w:t>
      </w:r>
    </w:p>
    <w:p/>
    <w:p>
      <w:r>
        <w:t>The Hazardous Waste Storage Facility (HWSF) was inspected weekly throughout 2024 in accordance with WAC 173-303-320. All inspections documented proper container labeling, secondary containment integrity, and compliance with accumulation time limits. The facility layout showing waste storage areas and designated satellite accumulation points is shown in [see Figure 3].</w:t>
      </w:r>
    </w:p>
    <w:p/>
    <w:p>
      <w:r>
        <w:drawing>
          <wp:inline xmlns:a="http://schemas.openxmlformats.org/drawingml/2006/main" xmlns:pic="http://schemas.openxmlformats.org/drawingml/2006/picture">
            <wp:extent cx="4572000" cy="47625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76250"/>
                    </a:xfrm>
                    <a:prstGeom prst="rect"/>
                  </pic:spPr>
                </pic:pic>
              </a:graphicData>
            </a:graphic>
          </wp:inline>
        </w:drawing>
      </w:r>
    </w:p>
    <w:p/>
    <w:p>
      <w:r>
        <w:t>5. Compliance Summary and Corrective Actions</w:t>
      </w:r>
    </w:p>
    <w:p/>
    <w:p>
      <w:r>
        <w:t>5.1 Notices of Violation</w:t>
      </w:r>
    </w:p>
    <w:p/>
    <w:p>
      <w:r>
        <w:t>Three Notices of Violation (NOVs) were issued by the Department of Ecology during the 2024 reporting period:</w:t>
      </w:r>
    </w:p>
    <w:p/>
    <w:p>
      <w:r>
        <w:t>NOV-2024-SW-0312 (March 15, 2024): pH exceedance at Outfall 002. Measured pH of 5.8 fell below the NPDES permit minimum of 6.0. Root cause: malfunction of the automated pH adjustment system in the neutralization tank. Corrective action: replaced pH sensor probe and recalibrated controller. Completed March 17, 2024.</w:t>
      </w:r>
    </w:p>
    <w:p/>
    <w:p>
      <w:r>
        <w:t>NOV-2024-AQ-0647 (June 28, 2024): Late submission of semi-annual VOC emission report. Report was submitted 4 business days past the June 15 deadline. Root cause: staffing transition in the environmental compliance department. Corrective action: implemented automated compliance calendar with 30-day and 7-day advance notifications. Completed July 2024.</w:t>
      </w:r>
    </w:p>
    <w:p/>
    <w:p>
      <w:r>
        <w:t>NOV-2024-HW-0891 (September 3, 2024): Container labeling deficiency in satellite accumulation area (SAA) in Building B paint mixing room. One 55-gallon drum of spent thinner lacked accumulation start date. Root cause: employee oversight during container staging. Corrective action: conducted refresher training for all Building B personnel on WAC 173-303-174 SAA requirements; installed additional labeling stations. Completed September 2024.</w:t>
      </w:r>
    </w:p>
    <w:p/>
    <w:p>
      <w:r>
        <w:t>5.2 Corrective Actions Summary</w:t>
      </w:r>
    </w:p>
    <w:p/>
    <w:p>
      <w:r>
        <w:t>All three NOVs were resolved within the timeframes specified by the Department of Ecology. Penalty amounts totaling $4,750 were assessed and paid. No repeat violations occurred for any of the cited conditions during the remainder of the reporting period.</w:t>
      </w:r>
    </w:p>
    <w:p/>
    <w:p>
      <w:r>
        <w:t>5.3 Planned Improvements for 2025</w:t>
      </w:r>
    </w:p>
    <w:p/>
    <w:p>
      <w:r>
        <w:t>The following environmental compliance improvement projects are planned for fiscal year 2025: upgrade of the WWTP clarifier system to improve TSS removal by an estimated 15 percent (budget: $380,000, Q2 2025); installation of continuous emission monitoring systems (CEMS) on Boilers EU-01 and EU-02 as required by the 2025 permit renewal (budget: $245,000, Q3 2025); and completion of Phase III groundwater remediation activities under MTCA Agreed Order DE 14-TCPSR-4271, including installation of three additional extraction wells and expansion of the on-site air stripping system (budget: $520,000, Q1-Q4 2025).</w:t>
      </w:r>
    </w:p>
    <w:p/>
    <w:p>
      <w:r>
        <w:t>Appendices</w:t>
      </w:r>
    </w:p>
    <w:p/>
    <w:p>
      <w:r>
        <w:t>Appendix A: Laboratory Analytical Methods</w:t>
      </w:r>
    </w:p>
    <w:p/>
    <w:p>
      <w:r>
        <w:t>All environmental samples collected during the 2024 monitoring program were analyzed by Cascade Analytical Laboratories, Inc. (Tacoma, WA), a Washington State Department of Ecology accredited laboratory (Accreditation No. C-934). The following EPA-approved analytical methods were employed:</w:t>
      </w:r>
    </w:p>
    <w:p/>
    <w:p>
      <w:r>
        <w:t>EPA Method 524.2 - Volatile organic compounds in water by purge-and-trap GC/MS</w:t>
      </w:r>
    </w:p>
    <w:p>
      <w:r>
        <w:t>EPA Method 200.7 - Metals in water by ICP-OES</w:t>
      </w:r>
    </w:p>
    <w:p>
      <w:r>
        <w:t>EPA Method 8260C - Volatile organic compounds in soil and groundwater by GC/MS</w:t>
      </w:r>
    </w:p>
    <w:p>
      <w:r>
        <w:t>EPA Method 8270E - Semi-volatile organic compounds by GC/MS</w:t>
      </w:r>
    </w:p>
    <w:p>
      <w:r>
        <w:t>EPA Method 9045D - Soil and waste pH</w:t>
      </w:r>
    </w:p>
    <w:p>
      <w:r>
        <w:t>SM 5210 B - Biochemical oxygen demand (BOD5)</w:t>
      </w:r>
    </w:p>
    <w:p>
      <w:r>
        <w:t>SM 2540 D - Total suspended solids (TSS)</w:t>
      </w:r>
    </w:p>
    <w:p/>
    <w:p>
      <w:r>
        <w:t>Appendix B: Monitoring Equipment Calibration Records</w:t>
      </w:r>
    </w:p>
    <w:p/>
    <w:p>
      <w:r>
        <w:t>All field monitoring equipment used during the 2024 sampling program was calibrated in accordance with manufacturer specifications and applicable EPA guidance. Calibration records are maintained on-site and available for regulatory inspection upon request. Equipment includes: YSI ProDSS multiparameter water quality meter (calibrated quarterly), Met One BAM-1020 continuous PM2.5 monitor (calibrated monthly per 40 CFR Part 58 Appendix A), and Thermo Scientific 42i NOx analyzer (calibrated weekly with certified span gas per 40 CFR Part 58 Appendix 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