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CLINICAL STUDY PROTOCOL</w:t>
      </w:r>
    </w:p>
    <w:p/>
    <w:p>
      <w:r>
        <w:t>Study Title: A Phase III, Randomized, Double-Blind, Placebo-Controlled, Multicenter Study of Horizimab Plus Pembrolizumab Versus Pembrolizumab Plus Placebo as First-Line Treatment for Patients with KRAS G12C-Mutant, Metastatic Non-Small Cell Lung Cancer (NSCLC)</w:t>
      </w:r>
    </w:p>
    <w:p/>
    <w:p>
      <w:r>
        <w:t>Protocol Number: HRZ-NSCLC-301</w:t>
      </w:r>
    </w:p>
    <w:p>
      <w:r>
        <w:t>Version: 2.1</w:t>
      </w:r>
    </w:p>
    <w:p>
      <w:r>
        <w:t>Date: October 14, 2024</w:t>
      </w:r>
    </w:p>
    <w:p>
      <w:r>
        <w:t>Sponsor: Vericel Oncology, Inc., 1 Harbor Plaza, Boston, MA 02210</w:t>
      </w:r>
    </w:p>
    <w:p>
      <w:r>
        <w:t>IND Number: 147,382</w:t>
      </w:r>
    </w:p>
    <w:p/>
    <w:p>
      <w:r>
        <w:t>CONFIDENTIALITY NOTICE</w:t>
      </w:r>
    </w:p>
    <w:p/>
    <w:p>
      <w:r>
        <w:t>This document contains confidential and proprietary information of Vericel Oncology, Inc. This protocol is provided to clinical investigators, Institutional Review Boards, and regulatory authorities solely for the purpose of evaluating the clinical study. Disclosure to any third party is strictly prohibited without prior written consent of the Sponsor.</w:t>
      </w:r>
    </w:p>
    <w:p/>
    <w:p>
      <w:r>
        <w:t>PROTOCOL SYNOPSIS</w:t>
      </w:r>
    </w:p>
    <w:p/>
    <w:p>
      <w:r>
        <w:t>Study Phase: Phase III</w:t>
      </w:r>
    </w:p>
    <w:p>
      <w:r>
        <w:t>Study Design: Randomized, double-blind, placebo-controlled, parallel-group, multicenter study</w:t>
      </w:r>
    </w:p>
    <w:p>
      <w:r>
        <w:t>Primary Objective: To demonstrate that the addition of horizimab to pembrolizumab significantly improves progression-free survival (PFS) compared to pembrolizumab plus placebo in patients with treatment-naive KRAS G12C-mutant metastatic NSCLC.</w:t>
      </w:r>
    </w:p>
    <w:p>
      <w:r>
        <w:t>Primary Endpoint: Progression-Free Survival (PFS) per RECIST v1.1 as assessed by blinded independent central review (BICR).</w:t>
      </w:r>
    </w:p>
    <w:p>
      <w:r>
        <w:t>Secondary Endpoints: Overall Survival (OS); Objective Response Rate (ORR) per RECIST v1.1; Duration of Response (DoR); Disease Control Rate (DCR); Patient-Reported Outcomes (PROs) per EORTC QLQ-C30 and QLQ-LC13.</w:t>
      </w:r>
    </w:p>
    <w:p>
      <w:r>
        <w:t>Study Population: Adults (&gt;=18 years) with histologically confirmed, previously untreated, stage IV NSCLC harboring KRAS G12C mutation, ECOG PS 0-1, no prior systemic treatment for metastatic disease, and PD-L1 TPS &gt;=1%.</w:t>
      </w:r>
    </w:p>
    <w:p>
      <w:r>
        <w:t>Sample Size: 480 patients (240 per arm), 80% power, one-sided alpha of 0.025.</w:t>
      </w:r>
    </w:p>
    <w:p>
      <w:r>
        <w:t>Study Duration: Approximately 48 months (36 months enrollment + 12 months follow-up).</w:t>
      </w:r>
    </w:p>
    <w:p>
      <w:r>
        <w:t>Study Sites: Approximately 120 investigational sites in the United States, European Union, Japan, South Korea, and Australia.</w:t>
      </w:r>
    </w:p>
    <w:p/>
    <w:p>
      <w:r>
        <w:t>1. INTRODUCTION AND RATIONALE</w:t>
      </w:r>
    </w:p>
    <w:p/>
    <w:p>
      <w:r>
        <w:t>1.1 Background and Disease Overview</w:t>
      </w:r>
    </w:p>
    <w:p/>
    <w:p>
      <w:r>
        <w:t>Lung cancer is the leading cause of cancer-related mortality worldwide, accounting for approximately 1.8 million deaths annually. Non-small cell lung cancer (NSCLC) represents approximately 85% of all lung cancer cases. Despite advances in targeted therapy and immunotherapy, the prognosis for patients with metastatic NSCLC remains poor, with a median overall survival of approximately 12-18 months with standard first-line pembrolizumab-based regimens.</w:t>
      </w:r>
    </w:p>
    <w:p/>
    <w:p>
      <w:r>
        <w:t>KRAS mutations are the most common oncogenic driver mutations in NSCLC, occurring in approximately 25-30% of cases. Among KRAS mutations, the G12C variant accounts for approximately 13% of all NSCLC cases, representing a patient population of approximately 25,000 newly diagnosed patients annually in the United States alone. KRAS G12C mutation results in a constitutively active GTP-bound form of KRAS, which drives tumor cell proliferation through activation of the MAPK and PI3K signaling pathways.</w:t>
      </w:r>
    </w:p>
    <w:p/>
    <w:p>
      <w:r>
        <w:t>1.2 Horizimab: Mechanism of Action and Preclinical Data</w:t>
      </w:r>
    </w:p>
    <w:p/>
    <w:p>
      <w:r>
        <w:t>Horizimab is a first-in-class, highly selective, small molecule inhibitor of KRAS G12C that covalently binds to the mutant cysteine residue in the inactive GDP-bound state of KRAS G12C, locking the protein in an inactive conformation. This mechanism exploits a unique allosteric switch II pocket (SIIP) that is present only in the mutant KRAS G12C protein and not in wild-type KRAS.</w:t>
      </w:r>
    </w:p>
    <w:p/>
    <w:p>
      <w:r>
        <w:t>In preclinical studies, horizimab demonstrated potent anti-tumor activity in KRAS G12C-mutant cell lines and xenograft models, with IC50 values in the low nanomolar range (2-8 nM). The combination of horizimab with anti-PD-1 therapy demonstrated synergistic anti-tumor activity in syngeneic mouse models, with complete tumor regression observed in 60-75% of treated animals compared to 20-30% with either agent alone.</w:t>
      </w:r>
    </w:p>
    <w:p/>
    <w:p>
      <w:r>
        <w:t>1.3 Clinical Data Supporting This Study</w:t>
      </w:r>
    </w:p>
    <w:p/>
    <w:p>
      <w:r>
        <w:t>Phase I/II clinical data from the ongoing HRZ-NSCLC-101 study demonstrated that horizimab at the recommended Phase III dose (800 mg once daily, orally) achieved an ORR of 47% (95% CI: 38-56%) in patients with previously treated KRAS G12C-mutant NSCLC (n=112), with a median PFS of 8.2 months (95% CI: 6.4-10.1 months). The safety profile was generally manageable, with Grade 3-4 treatment-related adverse events occurring in 28% of patients, most commonly diarrhea (8%), fatigue (6%), and nausea (5%).</w:t>
      </w:r>
    </w:p>
    <w:p/>
    <w:p>
      <w:r>
        <w:t>1.4 Rationale for Combination with Pembrolizumab</w:t>
      </w:r>
    </w:p>
    <w:p/>
    <w:p>
      <w:r>
        <w:t>Pembrolizumab (KEYTRUDA) is an anti-PD-1 monoclonal antibody approved by the FDA as first-line treatment for NSCLC with PD-L1 TPS &gt;=1%. The combination of KRAS G12C inhibition with anti-PD-1 therapy is scientifically supported by: (1) evidence that KRAS pathway activation suppresses anti-tumor immunity through increased expression of PD-L1 and immunosuppressive cytokines; (2) demonstration that KRAS G12C inhibition restores anti-tumor T-cell function in preclinical models; and (3) early clinical signals of enhanced response rates in patients receiving KRAS G12C inhibitors in combination with checkpoint inhibitors.</w:t>
      </w:r>
    </w:p>
    <w:p/>
    <w:p>
      <w:r>
        <w:t>2. STUDY OBJECTIVES AND ENDPOINTS</w:t>
      </w:r>
    </w:p>
    <w:p/>
    <w:p>
      <w:r>
        <w:t>2.1 Primary Objective and Endpoint</w:t>
      </w:r>
    </w:p>
    <w:p/>
    <w:p>
      <w:r>
        <w:t>Primary Objective: To demonstrate superiority of horizimab plus pembrolizumab versus placebo plus pembrolizumab in progression-free survival.</w:t>
      </w:r>
    </w:p>
    <w:p>
      <w:r>
        <w:t>Primary Endpoint: PFS defined as the time from randomization to the first documented disease progression per RECIST v1.1 as assessed by BICR, or death from any cause, whichever occurs first.</w:t>
      </w:r>
    </w:p>
    <w:p/>
    <w:p>
      <w:r>
        <w:t>2.2 Secondary Objectives and Endpoints</w:t>
      </w:r>
    </w:p>
    <w:p/>
    <w:p>
      <w:r>
        <w:t>Overall Survival: OS defined as time from randomization to death from any cause.</w:t>
      </w:r>
    </w:p>
    <w:p>
      <w:r>
        <w:t>Objective Response Rate: ORR defined as the proportion of patients with confirmed complete response (CR) or partial response (PR) per RECIST v1.1 by BICR.</w:t>
      </w:r>
    </w:p>
    <w:p>
      <w:r>
        <w:t>Duration of Response: DoR defined as time from first documented response to first documented disease progression or death.</w:t>
      </w:r>
    </w:p>
    <w:p>
      <w:r>
        <w:t>Patient-Reported Outcomes: Change from baseline in EORTC QLQ-C30 global health status/QoL scale score and QLQ-LC13 dyspnea scale score.</w:t>
      </w:r>
    </w:p>
    <w:p>
      <w:r>
        <w:t>Safety and Tolerability: Incidence, nature, and severity of adverse events (AEs), serious adverse events (SAEs), and laboratory abnormalities per CTCAE v5.0.</w:t>
      </w:r>
    </w:p>
    <w:p/>
    <w:p>
      <w:r>
        <w:t>2.3 Exploratory Objectives</w:t>
      </w:r>
    </w:p>
    <w:p/>
    <w:p>
      <w:r>
        <w:t>Biomarker Analysis: Correlation of KRAS G12C allele frequency, co-occurring mutations (STK11, KEAP1, TP53), PD-L1 TPS, and tumor mutational burden (TMB) with clinical outcomes.</w:t>
      </w:r>
    </w:p>
    <w:p>
      <w:r>
        <w:t>Pharmacokinetics: Population PK parameters of horizimab and any metabolites.</w:t>
      </w:r>
    </w:p>
    <w:p>
      <w:r>
        <w:t>Pharmacodynamics: Changes in circulating tumor DNA (ctDNA) and immune cell subsets as early markers of response.</w:t>
      </w:r>
    </w:p>
    <w:p/>
    <w:p>
      <w:r>
        <w:t>3. STUDY DESIGN</w:t>
      </w:r>
    </w:p>
    <w:p/>
    <w:p>
      <w:r>
        <w:t>3.1 Overview</w:t>
      </w:r>
    </w:p>
    <w:p/>
    <w:p>
      <w:r>
        <w:t>This is a Phase III, randomized, double-blind, placebo-controlled, parallel-group, multicenter study. Eligible patients will be randomized 1:1 to receive either horizimab 800 mg once daily plus pembrolizumab 200 mg every 3 weeks (Arm A) or matching placebo once daily plus pembrolizumab 200 mg every 3 weeks (Arm B).</w:t>
      </w:r>
    </w:p>
    <w:p/>
    <w:p>
      <w:r>
        <w:t>3.2 Randomization and Stratification</w:t>
      </w:r>
    </w:p>
    <w:p/>
    <w:p>
      <w:r>
        <w:t>Randomization will be performed using an interactive web response system (IWRS) with stratification by: (1) PD-L1 TPS (1-49% vs &gt;=50%); (2) Geographic region (North America/Western Europe vs Rest of World); (3) Histology (squamous vs non-squamous). Block randomization with variable block sizes will be used to maintain balance across treatment arms.</w:t>
      </w:r>
    </w:p>
    <w:p/>
    <w:p>
      <w:r>
        <w:t>3.3 Blinding</w:t>
      </w:r>
    </w:p>
    <w:p/>
    <w:p>
      <w:r>
        <w:t>This study will be conducted in a double-blind fashion. Horizimab and matching placebo will be identical in appearance. Pembrolizumab will be administered as an open-label infusion per standard institutional practice. An independent Data Safety Monitoring Board (DSMB) will review unblinded safety and efficacy data at predefined intervals.</w:t>
      </w:r>
    </w:p>
    <w:p/>
    <w:p>
      <w:r>
        <w:t>4. PATIENT SELECTION</w:t>
      </w:r>
    </w:p>
    <w:p/>
    <w:p>
      <w:r>
        <w:t>4.1 Inclusion Criteria</w:t>
      </w:r>
    </w:p>
    <w:p/>
    <w:p>
      <w:r>
        <w:t>Patients must meet ALL of the following criteria for enrollment:</w:t>
      </w:r>
    </w:p>
    <w:p>
      <w:r>
        <w:t>IC-01: Age &gt;= 18 years at the time of signing the informed consent form.</w:t>
      </w:r>
    </w:p>
    <w:p>
      <w:r>
        <w:t>IC-02: Histologically or cytologically confirmed, stage IV (metastatic) NSCLC per the 8th edition of the AJCC Cancer Staging Manual.</w:t>
      </w:r>
    </w:p>
    <w:p>
      <w:r>
        <w:t>IC-03: KRAS G12C mutation confirmed by a validated, FDA-approved or laboratory-developed test on tumor tissue or blood.</w:t>
      </w:r>
    </w:p>
    <w:p>
      <w:r>
        <w:t>IC-04: No prior systemic treatment for metastatic NSCLC. Prior adjuvant or neoadjuvant chemotherapy is permitted if completed &gt;=12 months before enrollment.</w:t>
      </w:r>
    </w:p>
    <w:p>
      <w:r>
        <w:t>IC-05: PD-L1 TPS &gt;= 1% as determined by a validated PD-L1 assay.</w:t>
      </w:r>
    </w:p>
    <w:p>
      <w:r>
        <w:t>IC-06: ECOG Performance Status 0 or 1.</w:t>
      </w:r>
    </w:p>
    <w:p>
      <w:r>
        <w:t>IC-07: At least one measurable lesion per RECIST v1.1.</w:t>
      </w:r>
    </w:p>
    <w:p>
      <w:r>
        <w:t>IC-08: Adequate organ function as defined in the protocol laboratory parameters.</w:t>
      </w:r>
    </w:p>
    <w:p>
      <w:r>
        <w:t>IC-09: No known EGFR, ALK, ROS1, RET, MET exon 14 skipping, or NTRK mutations for which approved targeted therapies exist.</w:t>
      </w:r>
    </w:p>
    <w:p>
      <w:r>
        <w:t>IC-10: Life expectancy &gt;= 12 weeks per investigator assessment.</w:t>
      </w:r>
    </w:p>
    <w:p/>
    <w:p>
      <w:r>
        <w:t>4.2 Exclusion Criteria</w:t>
      </w:r>
    </w:p>
    <w:p/>
    <w:p>
      <w:r>
        <w:t>Patients who meet ANY of the following criteria will be excluded from this study:</w:t>
      </w:r>
    </w:p>
    <w:p>
      <w:r>
        <w:t>EC-01: Prior treatment with a KRAS G12C inhibitor, anti-PD-1, anti-PD-L1, or anti-CTLA-4 antibody in the metastatic setting.</w:t>
      </w:r>
    </w:p>
    <w:p>
      <w:r>
        <w:t>EC-02: Active autoimmune disease requiring systemic treatment within the past 2 years (replacement therapy, e.g., thyroxine or insulin, is not considered a form of systemic treatment).</w:t>
      </w:r>
    </w:p>
    <w:p>
      <w:r>
        <w:t>EC-03: Active or prior documented inflammatory bowel disease (Crohn's disease or ulcerative colitis).</w:t>
      </w:r>
    </w:p>
    <w:p>
      <w:r>
        <w:t>EC-04: History of (non-infectious) pneumonitis that required steroids, or current pneumonitis or interstitial lung disease.</w:t>
      </w:r>
    </w:p>
    <w:p>
      <w:r>
        <w:t>EC-05: Known brain metastases or leptomeningeal disease that are untreated, symptomatic, or require therapy to control symptoms.</w:t>
      </w:r>
    </w:p>
    <w:p>
      <w:r>
        <w:t>EC-06: Receipt of any investigational agent or participation in another interventional clinical study within 4 weeks prior to randomization.</w:t>
      </w:r>
    </w:p>
    <w:p>
      <w:r>
        <w:t>EC-07: Major surgery within 28 days of first dose of study treatment.</w:t>
      </w:r>
    </w:p>
    <w:p>
      <w:r>
        <w:t>EC-08: Pregnant or breastfeeding women, or women of childbearing potential unwilling to use effective contraception.</w:t>
      </w:r>
    </w:p>
    <w:p/>
    <w:p>
      <w:r>
        <w:t>5. STUDY TREATMENTS</w:t>
      </w:r>
    </w:p>
    <w:p/>
    <w:p>
      <w:r>
        <w:t>5.1 Horizimab (Investigational Product)</w:t>
      </w:r>
    </w:p>
    <w:p/>
    <w:p>
      <w:r>
        <w:t>Formulation: Horizimab 200 mg film-coated tablets for oral administration.</w:t>
      </w:r>
    </w:p>
    <w:p>
      <w:r>
        <w:t>Dose: 800 mg (four 200-mg tablets) once daily, administered with or without food.</w:t>
      </w:r>
    </w:p>
    <w:p>
      <w:r>
        <w:t>Route of Administration: Oral.</w:t>
      </w:r>
    </w:p>
    <w:p>
      <w:r>
        <w:t>Treatment Cycles: Continuous daily dosing in 21-day cycles, aligned with pembrolizumab administration cycles.</w:t>
      </w:r>
    </w:p>
    <w:p>
      <w:r>
        <w:t>Storage: Store at 20-25 degrees C (68-77 degrees F); excursions permitted to 15-30 degrees C (59-86 degrees F).</w:t>
      </w:r>
    </w:p>
    <w:p/>
    <w:p>
      <w:r>
        <w:t>5.2 Pembrolizumab (Standard of Care)</w:t>
      </w:r>
    </w:p>
    <w:p/>
    <w:p>
      <w:r>
        <w:t>Pembrolizumab will be administered at 200 mg as a 30-minute intravenous infusion on Day 1 of each 21-day cycle. Treatment will continue until disease progression per RECIST v1.1, unacceptable toxicity, withdrawal of consent, or a maximum of 35 cycles (approximately 2 years).</w:t>
      </w:r>
    </w:p>
    <w:p/>
    <w:p>
      <w:r>
        <w:t>5.3 Dose Modifications</w:t>
      </w:r>
    </w:p>
    <w:p/>
    <w:p>
      <w:r>
        <w:t>Horizimab Dose Reductions: If dose reduction is required due to toxicity, horizimab may be reduced to 600 mg once daily (first reduction) or 400 mg once daily (second reduction). No further dose reductions are permitted; if additional reduction is required, horizimab must be permanently discontinued.</w:t>
      </w:r>
    </w:p>
    <w:p>
      <w:r>
        <w:t>Pembrolizumab Dose Modifications: Pembrolizumab doses should not be reduced. Pembrolizumab may be withheld for up to 12 weeks for management of immune-related adverse events (irAEs) per current prescribing information. Pembrolizumab should be permanently discontinued for severe or life-threatening irAEs.</w:t>
      </w:r>
    </w:p>
    <w:p/>
    <w:p>
      <w:r>
        <w:t>6. STUDY ASSESSMENTS</w:t>
      </w:r>
    </w:p>
    <w:p/>
    <w:p>
      <w:r>
        <w:t>6.1 Schedule of Assessments</w:t>
      </w:r>
    </w:p>
    <w:p/>
    <w:p>
      <w:r>
        <w:t>Assessment Schedule: The following assessments will be performed at each visit per the schedule below. All assessment windows are defined relative to the first day of each treatment cycle (Day 1 of Cycle N).</w:t>
      </w:r>
    </w:p>
    <w:p/>
    <w:p>
      <w:r>
        <w:t>Screening (within 28 days prior to Cycle 1 Day 1): Complete medical history; physical examination; vital signs; ECOG PS; 12-lead ECG; clinical laboratory tests (hematology, chemistry, coagulation, urinalysis, thyroid function); tumor tissue for biomarker testing; CT/MRI of chest, abdomen, and pelvis (with contrast); brain MRI; pulmonary function tests; EORTC QLQ-C30 and QLQ-LC13; pregnancy test; HIV, HBV, HCV serology.</w:t>
      </w:r>
    </w:p>
    <w:p/>
    <w:p>
      <w:r>
        <w:t>Cycle 1 Day 1: Physical examination; vital signs; ECOG PS; clinical laboratory tests; administration of study treatment; PK sample (pre-dose and 2h post-dose); AE assessment.</w:t>
      </w:r>
    </w:p>
    <w:p/>
    <w:p>
      <w:r>
        <w:t>Cycle 1 Day 8 (+/- 2 days): Vital signs; clinical laboratory tests; AE assessment.</w:t>
      </w:r>
    </w:p>
    <w:p/>
    <w:p>
      <w:r>
        <w:t>Cycle 1 Day 15 (+/- 2 days): Vital signs; clinical laboratory tests; AE assessment; PK sample (pre-dose).</w:t>
      </w:r>
    </w:p>
    <w:p/>
    <w:p>
      <w:r>
        <w:t>Day 1 of Cycles 2-4: Physical examination; vital signs; ECOG PS; clinical laboratory tests; administration of study treatment; AE assessment; concomitant medication review.</w:t>
      </w:r>
    </w:p>
    <w:p/>
    <w:p>
      <w:r>
        <w:t>Day 1 of Cycles 5 and Beyond (every 3 cycles): Tumor imaging (CT/MRI) per RECIST v1.1; physical examination; vital signs; ECOG PS; clinical laboratory tests; administration of study treatment; PRO assessment; AE assessment.</w:t>
      </w:r>
    </w:p>
    <w:p/>
    <w:p>
      <w:r>
        <w:t>End of Treatment (within 30 days after last dose): Physical examination; vital signs; ECOG PS; clinical laboratory tests; tumor imaging; PRO assessment; AE assessment; survival status.</w:t>
      </w:r>
    </w:p>
    <w:p/>
    <w:p>
      <w:r>
        <w:t>Follow-up (every 12 weeks until death, withdrawal, or study closure): Survival status; subsequent anti-cancer therapy.</w:t>
      </w:r>
    </w:p>
    <w:p/>
    <w:p>
      <w:r>
        <w:t>6.2 Efficacy Assessments</w:t>
      </w:r>
    </w:p>
    <w:p/>
    <w:p>
      <w:r>
        <w:t>Tumor assessments will be performed by CT scan (with contrast) of the chest, abdomen, and pelvis every 6 weeks (two cycles) from randomization through Week 18, then every 9 weeks (three cycles) until disease progression. Brain MRI will be performed every 12 weeks. All imaging will be submitted to the central imaging vendor for BICR evaluation per RECIST v1.1.</w:t>
      </w:r>
    </w:p>
    <w:p/>
    <w:p>
      <w:r>
        <w:t>6.3 Safety Assessments</w:t>
      </w:r>
    </w:p>
    <w:p/>
    <w:p>
      <w:r>
        <w:t>Adverse events will be collected from the time of signed informed consent through 90 days after the last dose of study treatment. All AEs will be graded per NCI CTCAE v5.0. Serious adverse events will be reported to the Sponsor within 24 hours of investigator awareness. A DSMB will conduct formal safety reviews after every 50 patients have completed at least 3 cycles of treatment.</w:t>
      </w:r>
    </w:p>
    <w:p/>
    <w:p>
      <w:r>
        <w:t>7. STATISTICAL ANALYSIS PLAN</w:t>
      </w:r>
    </w:p>
    <w:p/>
    <w:p>
      <w:r>
        <w:t>7.1 Sample Size and Power</w:t>
      </w:r>
    </w:p>
    <w:p/>
    <w:p>
      <w:r>
        <w:t>With a target hazard ratio (HR) of 0.65 for PFS (horizimab + pembrolizumab vs placebo + pembrolizumab), assuming a median PFS of 9.0 months in the control arm, a two-sided log-rank test at alpha = 0.05 (one-sided alpha = 0.025) will have approximately 80% power with 256 PFS events (128 per arm). Accounting for a 10% dropout rate, 480 patients (240 per arm) will be enrolled.</w:t>
      </w:r>
    </w:p>
    <w:p/>
    <w:p>
      <w:r>
        <w:t>7.2 Analysis Populations</w:t>
      </w:r>
    </w:p>
    <w:p/>
    <w:p>
      <w:r>
        <w:t>Full Analysis Set (FAS): All randomized patients who received at least one dose of study treatment. This is the primary analysis population for efficacy endpoints.</w:t>
      </w:r>
    </w:p>
    <w:p>
      <w:r>
        <w:t>Per-Protocol Set (PPS): All FAS patients without major protocol deviations. This population will be used for sensitivity analyses.</w:t>
      </w:r>
    </w:p>
    <w:p>
      <w:r>
        <w:t>Safety Analysis Set (SAS): All patients who received at least one dose of study treatment. This is the primary analysis population for safety endpoints.</w:t>
      </w:r>
    </w:p>
    <w:p>
      <w:r>
        <w:t>Pharmacokinetic Analysis Set (PKAS): All patients who received at least one dose of horizimab and have at least one evaluable PK sample.</w:t>
      </w:r>
    </w:p>
    <w:p/>
    <w:p>
      <w:r>
        <w:t>7.3 Primary Efficacy Analysis</w:t>
      </w:r>
    </w:p>
    <w:p/>
    <w:p>
      <w:r>
        <w:t>The primary analysis of PFS will be conducted using a stratified log-rank test at a one-sided significance level of 0.025, stratified by the factors used for randomization. The hazard ratio and 95% confidence interval will be estimated using a Cox proportional hazards model. A Kaplan-Meier plot of PFS will be presented for each treatment arm.</w:t>
      </w:r>
    </w:p>
    <w:p/>
    <w:p>
      <w:r>
        <w:t>8. ETHICAL CONSIDERATIONS</w:t>
      </w:r>
    </w:p>
    <w:p/>
    <w:p>
      <w:r>
        <w:t>8.1 Good Clinical Practice</w:t>
      </w:r>
    </w:p>
    <w:p/>
    <w:p>
      <w:r>
        <w:t>This study will be conducted in compliance with the protocol, International Conference on Harmonization (ICH) E6(R2) Good Clinical Practice (GCP) guidelines, the Declaration of Helsinki (2013 revision), and applicable local regulations. The protocol and all amendments will be reviewed and approved by each site's Institutional Review Board (IRB) or Independent Ethics Committee (IEC) prior to patient enrollment.</w:t>
      </w:r>
    </w:p>
    <w:p/>
    <w:p>
      <w:r>
        <w:t>8.2 Informed Consent</w:t>
      </w:r>
    </w:p>
    <w:p/>
    <w:p>
      <w:r>
        <w:t>Each patient must provide written informed consent prior to any study-specific procedures. The informed consent form (ICF) will be written in non-technical language and translated into the local language of each participating country. Patients will be given adequate time to review the ICF and ask questions. Patients may withdraw consent at any time without penalty.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