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Horizontal and vertical fill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allow the fill to operate only on a single column at a time (i.e. vertically). However, it has the ability to provide the fill either horizontally, over both axis or limited to just one axis depending on the direction of the drag. This option is provided by the mode sanitisation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it is set to both (i.e. both horizontal and vertical axis) to provide the filler along a row, rather than a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full range of options and syntax for mode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mode: 'both'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