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large amounts of data in a table, it can often be useful for the end user to have the column titles (the thead element as a whole in fact) always visible. This is particularly true if using DataTables with pagination disabled, or the display length is set to a high value.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FixedHeader extension for DataTables will ensure that your column titles will scroll with the page, showing at the top of the table at all times. Try the demo shown below - you might want to try resizing the window for full effect! Note also that the column titles remain clickable to perform sorting on the table.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FixedHeader is initialised using the constructor new $.fn.dataTable.FixedHeader();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$.fn.dataTable.FixedHeader( table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