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z-index order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two or more columns fixed on a table, there might be occasions when you which to have one column floating on top of another. This example shows how you can do that with the initialisation parameters zTop, zBottom, zLeft and zRight. In this example the left column is set to float on top of the header. The difference is subtle, but can be effective.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zIndexes are:</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zTop: 104</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zBottom: 103</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zLeft: 102</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zRight: 101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left column being floated on top of the header.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left: true, zLeft: 105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div.dataTables_wrapper { width: 1500px;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3"/>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