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`new` constructor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will automatically detect new DataTable instances being created on a page and initialise itself if it find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or responsive class name on the table, as shown in the other examples.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third way of initialising Responsive is manually creating a new instance using the $.fn.dataTable.Responsive class, as shown in this example (the other two methods are provided using this constructor in 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initDT</w:t>
        </w:r>
      </w:hyperlink>
      <w:r w:rsidDel="00000000" w:rsidR="00000000" w:rsidRPr="00000000">
        <w:rPr>
          <w:rtl w:val="0"/>
        </w:rPr>
        <w:t xml:space="preserve"> event handler!).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$.fn.dataTable.Responsive( table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reference/event/init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default.html" TargetMode="External"/><Relationship Id="rId18" Type="http://schemas.openxmlformats.org/officeDocument/2006/relationships/hyperlink" Target="http://docs.google.com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