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9120" w14:textId="7B67AF08" w:rsidR="006B2088" w:rsidRDefault="00DC454D" w:rsidP="00B33DCE">
      <w:pPr>
        <w:pStyle w:val="Title"/>
      </w:pPr>
      <w:r>
        <w:t>TITLE ON CARDIOVASCULAR DISEASE MORTALITY</w:t>
      </w:r>
    </w:p>
    <w:p w14:paraId="187F448D" w14:textId="77777777" w:rsidR="00D2750C" w:rsidRDefault="00D2750C" w:rsidP="00D2750C">
      <w:pPr>
        <w:pStyle w:val="BodyText"/>
      </w:pPr>
    </w:p>
    <w:p w14:paraId="1E305858" w14:textId="77777777" w:rsidR="00D2750C" w:rsidRDefault="00D2750C" w:rsidP="00D2750C">
      <w:pPr>
        <w:pStyle w:val="Author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 xml:space="preserve">, J. Douglas </w:t>
      </w:r>
      <w:proofErr w:type="spellStart"/>
      <w:r>
        <w:t>Bremner</w:t>
      </w:r>
      <w:proofErr w:type="spellEnd"/>
      <w:r>
        <w:t>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4F1CA57" w14:textId="3024B7F4" w:rsidR="006B2088" w:rsidRPr="00EA5C02" w:rsidRDefault="00000000" w:rsidP="00B33DCE">
      <w:pPr>
        <w:pStyle w:val="FirstParagraph"/>
      </w:pPr>
      <w:r w:rsidRPr="00EA5C02"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471EA426" w14:textId="218CB18E" w:rsidR="00661B2B" w:rsidRDefault="00661B2B" w:rsidP="001B3716">
      <w:pPr>
        <w:pStyle w:val="FirstParagraph"/>
      </w:pPr>
      <w:r>
        <w:t xml:space="preserve">If needed, we can add a color highlight by an additional style option. This is through the RMD or QMD format using a [markdown element with a specific </w:t>
      </w:r>
      <w:proofErr w:type="gramStart"/>
      <w:r>
        <w:t>style]{</w:t>
      </w:r>
      <w:proofErr w:type="gramEnd"/>
      <w:r>
        <w:t>custom-style=’red’}, which will then make the</w:t>
      </w:r>
      <w:r>
        <w:t xml:space="preserve"> </w:t>
      </w:r>
      <w:r>
        <w:rPr>
          <w:rStyle w:val="red"/>
        </w:rPr>
        <w:t>words can be colored in red.</w:t>
      </w:r>
      <w:r>
        <w:t xml:space="preserve"> </w:t>
      </w:r>
      <w:r>
        <w:t xml:space="preserve">However, the reference document </w:t>
      </w:r>
      <w:proofErr w:type="gramStart"/>
      <w:r>
        <w:t>has to</w:t>
      </w:r>
      <w:proofErr w:type="gramEnd"/>
      <w:r>
        <w:t xml:space="preserve"> contain this style.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B33DCE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77777777" w:rsidR="006B2088" w:rsidRPr="00342D79" w:rsidRDefault="00000000" w:rsidP="00B33DCE">
      <w:pPr>
        <w:pStyle w:val="Heading2"/>
      </w:pPr>
      <w:bookmarkStart w:id="3" w:name="enrollment-methods"/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B33DCE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B33DCE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B33DCE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B33DCE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B33DCE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fldSimple w:instr=" SEQ Table \* ARABIC ">
        <w:r w:rsidRPr="00B33DCE">
          <w:t>1</w:t>
        </w:r>
      </w:fldSimple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</w:t>
      </w:r>
      <w:proofErr w:type="gramStart"/>
      <w:r w:rsidRPr="00DC454D">
        <w:t>Perspective</w:t>
      </w:r>
      <w:proofErr w:type="gramEnd"/>
      <w:r w:rsidRPr="00DC454D">
        <w:t xml:space="preserve">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</w:t>
      </w:r>
      <w:proofErr w:type="spellStart"/>
      <w:r w:rsidRPr="00DC454D">
        <w:t>Ubel</w:t>
      </w:r>
      <w:proofErr w:type="spellEnd"/>
      <w:r w:rsidRPr="00DC454D">
        <w:t xml:space="preserve">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</w:t>
      </w:r>
      <w:proofErr w:type="spellStart"/>
      <w:r w:rsidRPr="00DC454D">
        <w:t>Bremner</w:t>
      </w:r>
      <w:proofErr w:type="spellEnd"/>
      <w:r w:rsidRPr="00DC454D">
        <w:t xml:space="preserve">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</w:t>
      </w:r>
      <w:proofErr w:type="spellStart"/>
      <w:r w:rsidRPr="00DC454D">
        <w:t>Bremner</w:t>
      </w:r>
      <w:proofErr w:type="spellEnd"/>
      <w:r w:rsidRPr="00DC454D">
        <w:t xml:space="preserve">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F3FA" w14:textId="77777777" w:rsidR="009315D4" w:rsidRDefault="009315D4" w:rsidP="00B33DCE">
      <w:r>
        <w:separator/>
      </w:r>
    </w:p>
  </w:endnote>
  <w:endnote w:type="continuationSeparator" w:id="0">
    <w:p w14:paraId="2F9C8CF2" w14:textId="77777777" w:rsidR="009315D4" w:rsidRDefault="009315D4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10CE7" w14:textId="77777777" w:rsidR="009315D4" w:rsidRDefault="009315D4" w:rsidP="00B33DCE">
      <w:r>
        <w:separator/>
      </w:r>
    </w:p>
  </w:footnote>
  <w:footnote w:type="continuationSeparator" w:id="0">
    <w:p w14:paraId="61E19A9C" w14:textId="77777777" w:rsidR="009315D4" w:rsidRDefault="009315D4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3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185606"/>
    <w:rsid w:val="001B3716"/>
    <w:rsid w:val="002B1F60"/>
    <w:rsid w:val="00342D79"/>
    <w:rsid w:val="00661B2B"/>
    <w:rsid w:val="006B2088"/>
    <w:rsid w:val="009315D4"/>
    <w:rsid w:val="009569D7"/>
    <w:rsid w:val="00A3123E"/>
    <w:rsid w:val="00B33DCE"/>
    <w:rsid w:val="00C840E3"/>
    <w:rsid w:val="00CF2919"/>
    <w:rsid w:val="00D2750C"/>
    <w:rsid w:val="00DC454D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A3123E"/>
    <w:pPr>
      <w:keepLines/>
      <w:spacing w:before="240" w:after="240"/>
      <w:outlineLvl w:val="0"/>
    </w:pPr>
    <w:rPr>
      <w:rFonts w:eastAsiaTheme="majorEastAsia"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C02"/>
    <w:pPr>
      <w:keepLines/>
      <w:spacing w:before="480" w:after="240"/>
    </w:pPr>
    <w:rPr>
      <w:rFonts w:eastAsiaTheme="majorEastAsia"/>
      <w:b/>
      <w:bCs/>
      <w:cap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2750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character" w:customStyle="1" w:styleId="red">
    <w:name w:val="red"/>
    <w:basedOn w:val="DefaultParagraphFont"/>
    <w:uiPriority w:val="1"/>
    <w:qFormat/>
    <w:rsid w:val="00661B2B"/>
    <w:rPr>
      <w:color w:val="D500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 Sanjay</cp:lastModifiedBy>
  <cp:revision>12</cp:revision>
  <dcterms:created xsi:type="dcterms:W3CDTF">2022-09-27T20:15:00Z</dcterms:created>
  <dcterms:modified xsi:type="dcterms:W3CDTF">2023-12-04T17:37:00Z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