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Surprisingly, the disease is only classified by broad strokes into paroxysmal, persistent, or permanent.</w:t>
      </w:r>
      <w:r>
        <w:t xml:space="preserve"> </w:t>
      </w:r>
      <w:r>
        <w:t xml:space="preserve">Treatment strategies, which are limited to antiarrhythmic drugs or catheter ablation, are applied with a similar lack of granularity to the stage of the disease.</w:t>
      </w:r>
      <w:r>
        <w:rPr>
          <w:vertAlign w:val="superscript"/>
        </w:rPr>
        <w:t xml:space="preserve">2,3</w:t>
      </w:r>
      <w:r>
        <w:t xml:space="preserve"> </w:t>
      </w:r>
      <w:r>
        <w:t xml:space="preserve">Our overly simplistic clinical approach to AF disallows us from understanding the disease and matching interventions with the specific stage of progression, even though there is growing evidence that early intervention is critical.</w:t>
      </w:r>
      <w:r>
        <w:rPr>
          <w:vertAlign w:val="superscript"/>
        </w:rPr>
        <w:t xml:space="preserve">3</w:t>
      </w:r>
      <w:r>
        <w:t xml:space="preserve"> </w:t>
      </w:r>
      <w:r>
        <w:t xml:space="preserve">Moreover, current attempts at reclassifying AF have been limited to cross-sectional, comorbidity-based heuristics, which considered AF to be a consequence instead of a precursor of other conditions.</w:t>
      </w:r>
      <w:r>
        <w:rPr>
          <w:vertAlign w:val="superscript"/>
        </w:rPr>
        <w:t xml:space="preserve">4,5</w:t>
      </w:r>
      <w:r>
        <w:t xml:space="preserve"> </w:t>
      </w:r>
      <w:r>
        <w:t xml:space="preserve">A paradigm shift is needed – differentiation of the underlying spectrum of paroxysmal AF would allow us to identify those at risk for progression, and tailor therapies that target the underlying pathophysiology.</w:t>
      </w:r>
    </w:p>
    <w:p>
      <w:pPr>
        <w:pStyle w:val="BodyText"/>
      </w:pPr>
      <w:r>
        <w:t xml:space="preserve">To overcome this lack of specificity in the diagnosis of paroxysmal AF, we need to</w:t>
      </w:r>
      <w:r>
        <w:t xml:space="preserve"> </w:t>
      </w:r>
      <w:r>
        <w:rPr>
          <w:u w:val="single"/>
        </w:rPr>
        <w:t xml:space="preserve">identify specific mechanisms in AF pathognesis</w:t>
      </w:r>
      <w:r>
        <w:t xml:space="preserve">, before prescribing therapies.</w:t>
      </w:r>
      <w:r>
        <w:t xml:space="preserve"> </w:t>
      </w:r>
      <w:r>
        <w:t xml:space="preserve">For example, vagal nerve stimulation and cardioneural ablations have shown promise in AF, but are underutilized and not individually tailored.</w:t>
      </w:r>
      <w:r>
        <w:rPr>
          <w:vertAlign w:val="superscript"/>
        </w:rPr>
        <w:t xml:space="preserve">6,7</w:t>
      </w:r>
      <w:r>
        <w:t xml:space="preserve"> </w:t>
      </w:r>
      <w:r>
        <w:t xml:space="preserve">In the earlier stages of AF, triggered activity from atrial tissue, such as ectopic beats, are the underlying</w:t>
      </w:r>
      <w:r>
        <w:t xml:space="preserve"> </w:t>
      </w:r>
      <w:r>
        <w:rPr>
          <w:iCs/>
          <w:i/>
        </w:rPr>
        <w:t xml:space="preserve">first-mover</w:t>
      </w:r>
      <w:r>
        <w:t xml:space="preserve"> </w:t>
      </w:r>
      <w:r>
        <w:t xml:space="preserve">in the onset of an episode of AF.</w:t>
      </w:r>
      <w:r>
        <w:t xml:space="preserve"> </w:t>
      </w:r>
      <w:r>
        <w:t xml:space="preserve">Longer sustained episodes of AF are accompanied by increased atrial scarring and fibrosis, as part of the disease progression.</w:t>
      </w:r>
      <w:r>
        <w:t xml:space="preserve"> </w:t>
      </w:r>
      <w:r>
        <w:t xml:space="preserve">This suggests that the earlier phases of paroxysmal AF are driven by triggers, which is ultimately mediated by maladaptive activity of the autonomic nervous system (ANS).</w:t>
      </w:r>
      <w:r>
        <w:rPr>
          <w:vertAlign w:val="superscript"/>
        </w:rPr>
        <w:t xml:space="preserve">8,9</w:t>
      </w:r>
      <w:r>
        <w:t xml:space="preserve"> </w:t>
      </w:r>
      <w:r>
        <w:t xml:space="preserve">Our overarching hypothesis is that</w:t>
      </w:r>
      <w:r>
        <w:t xml:space="preserve"> </w:t>
      </w:r>
      <w:r>
        <w:rPr>
          <w:u w:val="single"/>
        </w:rPr>
        <w:t xml:space="preserve">maladaptive autonomic responses drive triggered activity and lead to episodes of AF</w:t>
      </w:r>
      <w:r>
        <w:t xml:space="preserve"> </w:t>
      </w:r>
      <w:r>
        <w:t xml:space="preserve">To test this, we will leverage two pre-existing, well-established cohorts: (A) the UIC Multi-Ethnic Atrial Fibrillation Registry (AF Registry),</w:t>
      </w:r>
      <w:r>
        <w:rPr>
          <w:vertAlign w:val="superscript"/>
        </w:rPr>
        <w:t xml:space="preserve">10</w:t>
      </w:r>
      <w:r>
        <w:t xml:space="preserve"> which is enriched for paroxysmal AF, and (B) the Myocardial Infarction and Mental Stress Study (MIMS), which has a significant burden of maladaptive autonomic responses to stress.</w:t>
      </w:r>
      <w:r>
        <w:rPr>
          <w:vertAlign w:val="superscript"/>
        </w:rPr>
        <w:t xml:space="preserve">11</w:t>
      </w:r>
    </w:p>
    <w:p>
      <w:pPr>
        <w:pStyle w:val="BodyText"/>
      </w:pPr>
      <w:r>
        <w:t xml:space="preserve">During my TL1, T32, and F32 scholarship, I have worked extensively to collect clinical data in both ongoing NIH-sponsored investigations involving my mentorship and advisory team,</w:t>
      </w:r>
      <w:r>
        <w:rPr>
          <w:vertAlign w:val="superscript"/>
        </w:rPr>
        <w:t xml:space="preserve">10,11</w:t>
      </w:r>
      <w:r>
        <w:t xml:space="preserve"> developing critical skills in signal processing and biostatistics.</w:t>
      </w:r>
      <w:r>
        <w:t xml:space="preserve"> </w:t>
      </w:r>
      <w:r>
        <w:t xml:space="preserve">Both cohorts have extensive follow-up data, genetic sequencing, and are led by members of the mentorship committee.</w:t>
      </w:r>
      <w:r>
        <w:t xml:space="preserve"> </w:t>
      </w:r>
      <w:r>
        <w:t xml:space="preserve">I found that maladaptive autonomic responses can lead to abnormal cardiac perfusion and increased cardiovascular mortality.</w:t>
      </w:r>
      <w:r>
        <w:rPr>
          <w:vertAlign w:val="superscript"/>
        </w:rPr>
        <w:t xml:space="preserve">12,</w:t>
      </w:r>
      <w:r>
        <w:rPr>
          <w:bCs/>
          <w:b/>
          <w:vertAlign w:val="superscript"/>
        </w:rPr>
        <w:t xml:space="preserve">Shah2021?</w:t>
      </w:r>
      <w:r>
        <w:rPr>
          <w:vertAlign w:val="superscript"/>
        </w:rPr>
        <w:t xml:space="preserve">,</w:t>
      </w:r>
      <w:r>
        <w:rPr>
          <w:bCs/>
          <w:b/>
          <w:vertAlign w:val="superscript"/>
        </w:rPr>
        <w:t xml:space="preserve">Shah2023?</w:t>
      </w:r>
      <w:r>
        <w:rPr>
          <w:vertAlign w:val="superscript"/>
        </w:rPr>
        <w:t xml:space="preserve">!</w:t>
      </w:r>
      <w:r>
        <w:t xml:space="preserve"> </w:t>
      </w:r>
      <w:r>
        <w:t xml:space="preserve">These abnormalities are identified through electrocardiography-based (ECG) markers, such as heart rate variability (HRV), and are associated with ANS activity and cardiac physiology.</w:t>
      </w:r>
      <w:r>
        <w:rPr>
          <w:vertAlign w:val="superscript"/>
        </w:rPr>
        <w:t xml:space="preserve">13</w:t>
      </w:r>
      <w:r>
        <w:t xml:space="preserve"> </w:t>
      </w:r>
      <w:r>
        <w:t xml:space="preserve">As a fellow in clinical cardiac electrophysiology (EP), I am positioned to also obtain highly-granular data from EP studies performed during AF ablation, including cardiac blood sampling, intracardiac electrograms, and electroanatomical mapping, allowing assessment of ANS activity, triggers of AF, and atrial anatomy and morphology.</w:t>
      </w:r>
      <w:r>
        <w:t xml:space="preserve"> </w:t>
      </w:r>
      <w:r>
        <w:t xml:space="preserve">I will integrate these features into existing data from the AF Registry</w:t>
      </w:r>
      <w:r>
        <w:t xml:space="preserve"> </w:t>
      </w:r>
      <w:r>
        <w:t xml:space="preserve">to identify characteristics that determine the trajectory of AF progression and potential underlying mechanisms.</w:t>
      </w:r>
      <w:r>
        <w:t xml:space="preserve"> </w:t>
      </w:r>
      <w:r>
        <w:t xml:space="preserve">I will explore potential genetics variants in specific cardiovagal receptors (</w:t>
      </w:r>
      <w:r>
        <w:rPr>
          <w:iCs/>
          <w:i/>
        </w:rPr>
        <w:t xml:space="preserve">NPY2R</w:t>
      </w:r>
      <w:r>
        <w:t xml:space="preserve"> </w:t>
      </w:r>
      <w:r>
        <w:t xml:space="preserve">and</w:t>
      </w:r>
      <w:r>
        <w:t xml:space="preserve"> </w:t>
      </w:r>
      <w:r>
        <w:rPr>
          <w:iCs/>
          <w:i/>
        </w:rPr>
        <w:t xml:space="preserve">Gal1a</w:t>
      </w:r>
      <w:r>
        <w:t xml:space="preserve">) that may lead to a maladaptive autonomic responses, utilizing the AF Registry to identify variants and MIMS for validation.</w:t>
      </w:r>
      <w:r>
        <w:t xml:space="preserve"> </w:t>
      </w:r>
      <w:r>
        <w:t xml:space="preserve">I will extend my previous experience in signal processing to other computational approaches through additional rigorous training in machine learning and computational genomics.</w:t>
      </w:r>
      <w:r>
        <w:t xml:space="preserve"> </w:t>
      </w:r>
      <w:r>
        <w:t xml:space="preserve">To this end, we have the following aims:</w:t>
      </w:r>
    </w:p>
    <w:p>
      <w:pPr>
        <w:pStyle w:val="BodyText"/>
      </w:pPr>
      <w:r>
        <w:rPr>
          <w:bCs/>
          <w:b/>
        </w:rPr>
        <w:t xml:space="preserve">Aim 1: Identify triggered phenotypes of paroxysmal AF.</w:t>
      </w:r>
    </w:p>
    <w:p>
      <w:pPr>
        <w:numPr>
          <w:ilvl w:val="0"/>
          <w:numId w:val="1001"/>
        </w:numPr>
        <w:pStyle w:val="Compact"/>
      </w:pPr>
      <w:r>
        <w:t xml:space="preserve">Using clinical records and ECG parameters in the AF Registry,</w:t>
      </w:r>
      <w:r>
        <w:t xml:space="preserve"> </w:t>
      </w:r>
      <w:r>
        <w:rPr>
          <w:iCs/>
          <w:i/>
        </w:rPr>
        <w:t xml:space="preserve">we will identify features associated with triggered AF</w:t>
      </w:r>
      <w:r>
        <w:t xml:space="preserve">. Triggered AF will have</w:t>
      </w:r>
      <w:r>
        <w:t xml:space="preserve"> </w:t>
      </w:r>
      <w:r>
        <w:rPr>
          <w:u w:val="single"/>
        </w:rPr>
        <w:t xml:space="preserve">shorter, symptomatic episodes of AF without structural changes to the atria</w:t>
      </w:r>
      <w:r>
        <w:t xml:space="preserve">.</w:t>
      </w:r>
    </w:p>
    <w:p>
      <w:pPr>
        <w:numPr>
          <w:ilvl w:val="0"/>
          <w:numId w:val="1001"/>
        </w:numPr>
        <w:pStyle w:val="Compact"/>
      </w:pPr>
      <w:r>
        <w:t xml:space="preserve">Using intracardiac signals from EP studies in a subgroup of the AF Registry undergoing ablation,</w:t>
      </w:r>
      <w:r>
        <w:t xml:space="preserve"> </w:t>
      </w:r>
      <w:r>
        <w:rPr>
          <w:iCs/>
          <w:i/>
        </w:rPr>
        <w:t xml:space="preserve">we will validate cases of triggered AF and assess ANS function using ECG and EP study parameters</w:t>
      </w:r>
      <w:r>
        <w:t xml:space="preserve">. Triggered AF will have</w:t>
      </w:r>
      <w:r>
        <w:t xml:space="preserve"> </w:t>
      </w:r>
      <w:r>
        <w:rPr>
          <w:u w:val="single"/>
        </w:rPr>
        <w:t xml:space="preserve">minimal conduction disease and atrial scarring</w:t>
      </w:r>
      <w:r>
        <w:t xml:space="preserve"> </w:t>
      </w:r>
      <w:r>
        <w:t xml:space="preserve">and</w:t>
      </w:r>
      <w:r>
        <w:t xml:space="preserve"> </w:t>
      </w:r>
      <w:r>
        <w:rPr>
          <w:u w:val="single"/>
        </w:rPr>
        <w:t xml:space="preserve">maladaptive ANS responses</w:t>
      </w:r>
      <w:r>
        <w:t xml:space="preserve">.</w:t>
      </w:r>
    </w:p>
    <w:p>
      <w:pPr>
        <w:pStyle w:val="FirstParagraph"/>
      </w:pPr>
      <w:r>
        <w:rPr>
          <w:bCs/>
          <w:b/>
        </w:rPr>
        <w:t xml:space="preserve">Aim 2: Determine the role of genetic variants of cardiovagal receptors in triggered arrhythmias.</w:t>
      </w:r>
    </w:p>
    <w:p>
      <w:pPr>
        <w:numPr>
          <w:ilvl w:val="0"/>
          <w:numId w:val="1002"/>
        </w:numPr>
        <w:pStyle w:val="Compact"/>
      </w:pPr>
      <w:r>
        <w:t xml:space="preserve">In the MIMS cohort, a subgroup of participants had a robust association between vagolysis and cardiovascular mortality. In those with</w:t>
      </w:r>
      <w:r>
        <w:t xml:space="preserve"> </w:t>
      </w:r>
      <w:r>
        <w:rPr>
          <w:iCs/>
          <w:i/>
        </w:rPr>
        <w:t xml:space="preserve">inappropriate vagolysis</w:t>
      </w:r>
      <w:r>
        <w:t xml:space="preserve">, we will</w:t>
      </w:r>
      <w:r>
        <w:t xml:space="preserve"> </w:t>
      </w:r>
      <w:r>
        <w:rPr>
          <w:u w:val="single"/>
        </w:rPr>
        <w:t xml:space="preserve">identify genetic variants in cardiovagal receptors</w:t>
      </w:r>
      <w:r>
        <w:t xml:space="preserve">.</w:t>
      </w:r>
    </w:p>
    <w:p>
      <w:pPr>
        <w:numPr>
          <w:ilvl w:val="0"/>
          <w:numId w:val="1002"/>
        </w:numPr>
        <w:pStyle w:val="Compact"/>
      </w:pPr>
      <w:r>
        <w:t xml:space="preserve">The</w:t>
      </w:r>
      <w:r>
        <w:t xml:space="preserve"> </w:t>
      </w:r>
      <w:r>
        <w:rPr>
          <w:iCs/>
          <w:i/>
        </w:rPr>
        <w:t xml:space="preserve">genetic variants</w:t>
      </w:r>
      <w:r>
        <w:t xml:space="preserve"> </w:t>
      </w:r>
      <w:r>
        <w:t xml:space="preserve">identified in</w:t>
      </w:r>
      <w:r>
        <w:t xml:space="preserve"> </w:t>
      </w:r>
      <w:r>
        <w:rPr>
          <w:bCs/>
          <w:b/>
        </w:rPr>
        <w:t xml:space="preserve">2a</w:t>
      </w:r>
      <w:r>
        <w:t xml:space="preserve"> </w:t>
      </w:r>
      <w:r>
        <w:t xml:space="preserve">will be evaluated in the UIC Atrial Arrhythmia Registry. The identified variants will</w:t>
      </w:r>
      <w:r>
        <w:t xml:space="preserve"> </w:t>
      </w:r>
      <w:r>
        <w:rPr>
          <w:u w:val="single"/>
        </w:rPr>
        <w:t xml:space="preserve">associate most strongly with triggered AF</w:t>
      </w:r>
      <w:r>
        <w:t xml:space="preserve">.</w:t>
      </w:r>
    </w:p>
    <w:p>
      <w:pPr>
        <w:pStyle w:val="FirstParagraph"/>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6</w:t>
      </w:r>
    </w:p>
    <w:p>
      <w:r>
        <w:br w:type="page"/>
      </w:r>
    </w:p>
    <w:bookmarkStart w:id="46"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Shivkumar2017"/>
    <w:p>
      <w:pPr>
        <w:pStyle w:val="Bibliography"/>
      </w:pPr>
      <w:r>
        <w:t xml:space="preserve">6.</w:t>
      </w:r>
      <w:r>
        <w:t xml:space="preserve"> </w:t>
      </w:r>
      <w:r>
        <w:t xml:space="preserve">	</w:t>
      </w:r>
      <w:r>
        <w:t xml:space="preserve">Shivkumar K, Ardell JL. Vagal neuromodulation for atrial arrhythmias. JACC: Clinical Electrophysiology 2017;3:939–941. doi:</w:t>
      </w:r>
      <w:hyperlink r:id="rId30">
        <w:r>
          <w:rPr>
            <w:rStyle w:val="Hyperlink"/>
          </w:rPr>
          <w:t xml:space="preserve">10.1016/j.jacep.2017.06.018</w:t>
        </w:r>
      </w:hyperlink>
      <w:r>
        <w:t xml:space="preserve">.</w:t>
      </w:r>
    </w:p>
    <w:bookmarkEnd w:id="31"/>
    <w:bookmarkStart w:id="33" w:name="ref-Mehra2022"/>
    <w:p>
      <w:pPr>
        <w:pStyle w:val="Bibliography"/>
      </w:pPr>
      <w:r>
        <w:t xml:space="preserve">7.</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2">
        <w:r>
          <w:rPr>
            <w:rStyle w:val="Hyperlink"/>
          </w:rPr>
          <w:t xml:space="preserve">10.1016/j.jacbts.2021.11.003</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 From brain to heart. Frontiers in Physiology 2011;2 OCT. doi:</w:t>
      </w:r>
      <w:hyperlink r:id="rId36">
        <w:r>
          <w:rPr>
            <w:rStyle w:val="Hyperlink"/>
          </w:rPr>
          <w:t xml:space="preserve">10.3389/fphys.2011.00067</w:t>
        </w:r>
      </w:hyperlink>
      <w:r>
        <w:t xml:space="preserve">.</w:t>
      </w:r>
    </w:p>
    <w:bookmarkEnd w:id="37"/>
    <w:bookmarkStart w:id="39" w:name="ref-Chalazan2021"/>
    <w:p>
      <w:pPr>
        <w:pStyle w:val="Bibliography"/>
      </w:pPr>
      <w:r>
        <w:t xml:space="preserve">10.</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8">
        <w:r>
          <w:rPr>
            <w:rStyle w:val="Hyperlink"/>
          </w:rPr>
          <w:t xml:space="preserve">10.1001/jamacardio.2021.0994</w:t>
        </w:r>
      </w:hyperlink>
      <w:r>
        <w:t xml:space="preserve">.</w:t>
      </w:r>
    </w:p>
    <w:bookmarkEnd w:id="39"/>
    <w:bookmarkStart w:id="41" w:name="ref-Vaccarino2021a"/>
    <w:p>
      <w:pPr>
        <w:pStyle w:val="Bibliography"/>
      </w:pPr>
      <w:r>
        <w:t xml:space="preserve">11.</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40">
        <w:r>
          <w:rPr>
            <w:rStyle w:val="Hyperlink"/>
          </w:rPr>
          <w:t xml:space="preserve">10.1001/jama.2021.17649</w:t>
        </w:r>
      </w:hyperlink>
      <w:r>
        <w:t xml:space="preserve">.</w:t>
      </w:r>
    </w:p>
    <w:bookmarkEnd w:id="41"/>
    <w:bookmarkStart w:id="43" w:name="ref-Shah2020"/>
    <w:p>
      <w:pPr>
        <w:pStyle w:val="Bibliography"/>
      </w:pPr>
      <w:r>
        <w:t xml:space="preserve">12.</w:t>
      </w:r>
      <w:r>
        <w:t xml:space="preserve"> </w:t>
      </w:r>
      <w:r>
        <w:t xml:space="preserve">	</w:t>
      </w:r>
      <w:r>
        <w:t xml:space="preserve">Shah AS, Shah AJ, Lampert R, Goldberg J, Bremner JD, Li L, et al. Alterations in heart rate variability are associated with abnormal myocardial perfusion. International Journal of Cardiology 2020;305:99–105. doi:</w:t>
      </w:r>
      <w:hyperlink r:id="rId42">
        <w:r>
          <w:rPr>
            <w:rStyle w:val="Hyperlink"/>
          </w:rPr>
          <w:t xml:space="preserve">10.1016/j.ijcard.2020.01.069</w:t>
        </w:r>
      </w:hyperlink>
      <w:r>
        <w:t xml:space="preserve">.</w:t>
      </w:r>
    </w:p>
    <w:bookmarkEnd w:id="43"/>
    <w:bookmarkStart w:id="45" w:name="ref-Shah2021b"/>
    <w:p>
      <w:pPr>
        <w:pStyle w:val="Bibliography"/>
      </w:pPr>
      <w:r>
        <w:t xml:space="preserve">13.</w:t>
      </w:r>
      <w:r>
        <w:t xml:space="preserve"> </w:t>
      </w:r>
      <w:r>
        <w:t xml:space="preserve">	</w:t>
      </w:r>
      <w:r>
        <w:t xml:space="preserve">Shah AJ, Wittbrodt MT, Bremner JD, Vaccarino V. Cardiovascular pathophysiology from the cardioneural perspective and its clinical applications. Trends in Cardiovascular Medicine 2021. doi:</w:t>
      </w:r>
      <w:hyperlink r:id="rId44">
        <w:r>
          <w:rPr>
            <w:rStyle w:val="Hyperlink"/>
          </w:rPr>
          <w:t xml:space="preserve">10.1016/j.tcm.2021.03.001</w:t>
        </w:r>
      </w:hyperlink>
      <w:r>
        <w:t xml:space="preserve">.</w:t>
      </w:r>
    </w:p>
    <w:bookmarkEnd w:id="45"/>
    <w:bookmarkEnd w:id="46"/>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32" Target="https://doi.org/10.1016/j.jacbts.2021.11.003" TargetMode="External" /><Relationship Type="http://schemas.openxmlformats.org/officeDocument/2006/relationships/hyperlink" Id="rId30" Target="https://doi.org/10.1016/j.jacep.2017.06.018" TargetMode="External" /><Relationship Type="http://schemas.openxmlformats.org/officeDocument/2006/relationships/hyperlink" Id="rId44" Target="https://doi.org/10.1016/j.tcm.2021.03.001"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6"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32" Target="https://doi.org/10.1016/j.jacbts.2021.11.003" TargetMode="External" /><Relationship Type="http://schemas.openxmlformats.org/officeDocument/2006/relationships/hyperlink" Id="rId30" Target="https://doi.org/10.1016/j.jacep.2017.06.018" TargetMode="External" /><Relationship Type="http://schemas.openxmlformats.org/officeDocument/2006/relationships/hyperlink" Id="rId44" Target="https://doi.org/10.1016/j.tcm.2021.03.001"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6"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2023-05-18T01:41:40Z</dcterms:created>
  <dcterms:modified xsi:type="dcterms:W3CDTF">2023-05-18T01:41:40Z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