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im-1"/>
    <w:p>
      <w:pPr>
        <w:pStyle w:val="Heading1"/>
      </w:pPr>
      <w:r>
        <w:t xml:space="preserve">AIM 1</w:t>
      </w:r>
    </w:p>
    <w:p>
      <w:pPr>
        <w:pStyle w:val="FirstParagraph"/>
      </w:pPr>
      <w:r>
        <w:rPr>
          <w:bCs/>
          <w:b/>
        </w:rPr>
        <w:t xml:space="preserve">The goal is to find patients that have had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triggered pAF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as their phenotype</w:t>
      </w:r>
    </w:p>
    <w:p>
      <w:pPr>
        <w:numPr>
          <w:ilvl w:val="0"/>
          <w:numId w:val="1001"/>
        </w:numPr>
        <w:pStyle w:val="Compact"/>
      </w:pPr>
      <w:r>
        <w:t xml:space="preserve">I will get patients from the CCTS from UIC and obtain clinical data before diagnosis and after</w:t>
      </w:r>
    </w:p>
    <w:p>
      <w:pPr>
        <w:numPr>
          <w:ilvl w:val="0"/>
          <w:numId w:val="1001"/>
        </w:numPr>
        <w:pStyle w:val="Compact"/>
      </w:pPr>
      <w:r>
        <w:t xml:space="preserve">Evaluate time-based markers (weight change, burden of AF, echo parameters)</w:t>
      </w:r>
    </w:p>
    <w:p>
      <w:pPr>
        <w:numPr>
          <w:ilvl w:val="0"/>
          <w:numId w:val="1001"/>
        </w:numPr>
        <w:pStyle w:val="Compact"/>
      </w:pPr>
      <w:r>
        <w:t xml:space="preserve">Filter out those with highly co-morbid pAF, leaving those that are somewhat younger/less-comorbid as target population.</w:t>
      </w:r>
    </w:p>
    <w:p>
      <w:pPr>
        <w:numPr>
          <w:ilvl w:val="0"/>
          <w:numId w:val="1001"/>
        </w:numPr>
        <w:pStyle w:val="Compact"/>
      </w:pPr>
      <w:r>
        <w:t xml:space="preserve">Of those, will identify patients that have had pAF ablation (retrospectively)</w:t>
      </w:r>
    </w:p>
    <w:p>
      <w:pPr>
        <w:numPr>
          <w:ilvl w:val="0"/>
          <w:numId w:val="1001"/>
        </w:numPr>
        <w:pStyle w:val="Compact"/>
      </w:pPr>
      <w:r>
        <w:t xml:space="preserve">Will look at EGM/EAM data on those retrospective patients and evaluate if there are intracardiac patterns (triggered/un-triggered, voltage, scar burden, atrial geometry)</w:t>
      </w:r>
    </w:p>
    <w:p>
      <w:pPr>
        <w:numPr>
          <w:ilvl w:val="0"/>
          <w:numId w:val="1001"/>
        </w:numPr>
        <w:pStyle w:val="Compact"/>
      </w:pPr>
      <w:r>
        <w:t xml:space="preserve">Will compare those population-level patients with the subset of EPS patients to see if there is a pattern against a</w:t>
      </w:r>
      <w:r>
        <w:t xml:space="preserve"> </w:t>
      </w:r>
      <w:r>
        <w:t xml:space="preserve">“</w:t>
      </w:r>
      <w:r>
        <w:t xml:space="preserve">gold-standard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Aim 1: Identify triggered-variants of pAF using clinical and electrical sub-phenotypes.</w:t>
      </w:r>
      <w:r>
        <w:t xml:space="preserve"> </w:t>
      </w:r>
      <w:r>
        <w:t xml:space="preserve">a.</w:t>
      </w:r>
      <w:r>
        <w:t xml:space="preserve"> </w:t>
      </w:r>
      <w:r>
        <w:rPr>
          <w:u w:val="single"/>
          <w:iCs/>
          <w:i/>
        </w:rPr>
        <w:t xml:space="preserve">Hypothesis</w:t>
      </w:r>
      <w:r>
        <w:rPr>
          <w:iCs/>
          <w:i/>
        </w:rPr>
        <w:t xml:space="preserve">: Intracardiac and extracardiac electrical features classify pAF into triggered versus re-entrant variants.</w:t>
      </w:r>
      <w:r>
        <w:t xml:space="preserve"> </w:t>
      </w:r>
      <w:r>
        <w:t xml:space="preserve">a. Our clinical sub-phenotype will be generated using population-level data that incorporates ECG, imaging, burden, and recurrence.</w:t>
      </w:r>
      <w:r>
        <w:br/>
      </w:r>
      <w:r>
        <w:t xml:space="preserve">a. Our electrical sub-phenotype will be generated during EPS for pAF ablation, using intracardiac markers (EGM, voltage, scar) and will be used to validate our findings.</w:t>
      </w:r>
    </w:p>
    <w:bookmarkEnd w:id="20"/>
    <w:bookmarkStart w:id="21" w:name="aim-2"/>
    <w:p>
      <w:pPr>
        <w:pStyle w:val="Heading1"/>
      </w:pPr>
      <w:r>
        <w:t xml:space="preserve">AIM 2</w:t>
      </w:r>
    </w:p>
    <w:p>
      <w:pPr>
        <w:pStyle w:val="FirstParagraph"/>
      </w:pPr>
      <w:r>
        <w:rPr>
          <w:bCs/>
          <w:b/>
        </w:rPr>
        <w:t xml:space="preserve">The goal is to identify if there is a VTA-pAF phenotype from intracardiac lab data.</w:t>
      </w:r>
    </w:p>
    <w:p>
      <w:pPr>
        <w:numPr>
          <w:ilvl w:val="0"/>
          <w:numId w:val="1002"/>
        </w:numPr>
        <w:pStyle w:val="Compact"/>
      </w:pPr>
      <w:r>
        <w:t xml:space="preserve">Will enroll patients undergoing EPS/PVI for pAF</w:t>
      </w:r>
    </w:p>
    <w:p>
      <w:pPr>
        <w:numPr>
          <w:ilvl w:val="0"/>
          <w:numId w:val="1002"/>
        </w:numPr>
        <w:pStyle w:val="Compact"/>
      </w:pPr>
      <w:r>
        <w:t xml:space="preserve">Before enrollment, evaluate if they classify/fall into a phenotype category from aim 1</w:t>
      </w:r>
    </w:p>
    <w:p>
      <w:pPr>
        <w:numPr>
          <w:ilvl w:val="0"/>
          <w:numId w:val="1002"/>
        </w:numPr>
        <w:pStyle w:val="Compact"/>
      </w:pPr>
      <w:r>
        <w:t xml:space="preserve">Will interview these patients to get neuropsychological patterns prior to PVI</w:t>
      </w:r>
    </w:p>
    <w:p>
      <w:pPr>
        <w:numPr>
          <w:ilvl w:val="0"/>
          <w:numId w:val="1002"/>
        </w:numPr>
        <w:pStyle w:val="Compact"/>
      </w:pPr>
      <w:r>
        <w:t xml:space="preserve">During the case, before PVI, will get baseline EPS. EPS will include SA node properties. HRV/GEH before and after PVI.</w:t>
      </w:r>
    </w:p>
    <w:p>
      <w:pPr>
        <w:numPr>
          <w:ilvl w:val="0"/>
          <w:numId w:val="1002"/>
        </w:numPr>
        <w:pStyle w:val="Compact"/>
      </w:pPr>
      <w:r>
        <w:t xml:space="preserve">During the case will also get systemic/IVC levels of NE, EPI, CRP, ESR, hsTn, ANP, nt-BNP.</w:t>
      </w:r>
    </w:p>
    <w:p>
      <w:pPr>
        <w:numPr>
          <w:ilvl w:val="0"/>
          <w:numId w:val="1002"/>
        </w:numPr>
        <w:pStyle w:val="Compact"/>
      </w:pPr>
      <w:r>
        <w:t xml:space="preserve">Will get CS-levels of NPY, Gal, S100B before and after ablation. Also get systemic levels at baseline.</w:t>
      </w:r>
    </w:p>
    <w:p>
      <w:pPr>
        <w:numPr>
          <w:ilvl w:val="0"/>
          <w:numId w:val="1002"/>
        </w:numPr>
        <w:pStyle w:val="Compact"/>
      </w:pPr>
      <w:r>
        <w:t xml:space="preserve">During case, if feasible, will use epi/iso to evaluate vagal effects and re-measure NPY/Gal.</w:t>
      </w:r>
    </w:p>
    <w:p>
      <w:pPr>
        <w:numPr>
          <w:ilvl w:val="0"/>
          <w:numId w:val="1002"/>
        </w:numPr>
        <w:pStyle w:val="Compact"/>
      </w:pPr>
      <w:r>
        <w:t xml:space="preserve">During case, if feasible, will use VNS and re-measure NPY/Gal levels (and NE).</w:t>
      </w:r>
    </w:p>
    <w:p>
      <w:pPr>
        <w:numPr>
          <w:ilvl w:val="0"/>
          <w:numId w:val="1002"/>
        </w:numPr>
        <w:pStyle w:val="Compact"/>
      </w:pPr>
      <w:r>
        <w:t xml:space="preserve">After ablation, will measure S100B (GP glial cells)</w:t>
      </w:r>
    </w:p>
    <w:p>
      <w:pPr>
        <w:numPr>
          <w:ilvl w:val="0"/>
          <w:numId w:val="1002"/>
        </w:numPr>
        <w:pStyle w:val="Compact"/>
      </w:pPr>
      <w:r>
        <w:t xml:space="preserve">Use these components to classify patients as</w:t>
      </w:r>
      <w:r>
        <w:t xml:space="preserve"> </w:t>
      </w:r>
      <w:r>
        <w:t xml:space="preserve">“</w:t>
      </w:r>
      <w:r>
        <w:t xml:space="preserve">autonomic</w:t>
      </w:r>
      <w:r>
        <w:t xml:space="preserve">”</w:t>
      </w:r>
      <w:r>
        <w:t xml:space="preserve"> </w:t>
      </w:r>
      <w:r>
        <w:t xml:space="preserve">or not in terms of their AF</w:t>
      </w:r>
    </w:p>
    <w:p>
      <w:pPr>
        <w:numPr>
          <w:ilvl w:val="0"/>
          <w:numId w:val="1002"/>
        </w:numPr>
        <w:pStyle w:val="Compact"/>
      </w:pPr>
      <w:r>
        <w:t xml:space="preserve">Compare them to patients in Aim 1 as a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Aim 2: Investigate the autonomic determinants of triggered-variants of pAF.</w:t>
      </w:r>
      <w:r>
        <w:t xml:space="preserve"> </w:t>
      </w:r>
      <w:r>
        <w:t xml:space="preserve">a. Levels of serum and coronary sinus neurohormonal biomarkers can be measured during EPS.</w:t>
      </w:r>
      <w:r>
        <w:t xml:space="preserve"> </w:t>
      </w:r>
      <w:r>
        <w:rPr>
          <w:u w:val="single"/>
          <w:iCs/>
          <w:i/>
        </w:rPr>
        <w:t xml:space="preserve">Hypothesis</w:t>
      </w:r>
      <w:r>
        <w:rPr>
          <w:iCs/>
          <w:i/>
        </w:rPr>
        <w:t xml:space="preserve">: Levels of NPY and Gal will be greater in those with triggered vs. re-entrant pAF.</w:t>
      </w:r>
      <w:r>
        <w:br/>
      </w:r>
      <w:r>
        <w:t xml:space="preserve">a. Physiological stress can be induced through catecholamine infusion, and can affect arrhythmogenesis.</w:t>
      </w:r>
      <w:r>
        <w:t xml:space="preserve"> </w:t>
      </w:r>
      <w:r>
        <w:rPr>
          <w:u w:val="single"/>
          <w:iCs/>
          <w:i/>
        </w:rPr>
        <w:t xml:space="preserve">Hypothesis</w:t>
      </w:r>
      <w:r>
        <w:rPr>
          <w:iCs/>
          <w:i/>
        </w:rPr>
        <w:t xml:space="preserve">: The electrical threshold for arrythmogenesis will be decreased in those with triggered pAF as compared to baseline.</w:t>
      </w:r>
      <w:r>
        <w:br/>
      </w:r>
      <w:r>
        <w:t xml:space="preserve">a. Neuropsychological stress can be measured through clinical interview and using mental stress challenge.</w:t>
      </w:r>
      <w:r>
        <w:t xml:space="preserve"> </w:t>
      </w:r>
      <w:r>
        <w:rPr>
          <w:u w:val="single"/>
          <w:iCs/>
          <w:i/>
        </w:rPr>
        <w:t xml:space="preserve">Hypothesis</w:t>
      </w:r>
      <w:r>
        <w:rPr>
          <w:iCs/>
          <w:i/>
        </w:rPr>
        <w:t xml:space="preserve">: Levels of NPY and Gal will be higher at baseline in those with increased burden of psychological stress.</w:t>
      </w:r>
    </w:p>
    <w:bookmarkEnd w:id="21"/>
    <w:bookmarkStart w:id="22" w:name="aim-3"/>
    <w:p>
      <w:pPr>
        <w:pStyle w:val="Heading1"/>
      </w:pPr>
      <w:r>
        <w:t xml:space="preserve">AIM 3</w:t>
      </w:r>
    </w:p>
    <w:p>
      <w:pPr>
        <w:pStyle w:val="FirstParagraph"/>
      </w:pPr>
      <w:r>
        <w:rPr>
          <w:bCs/>
          <w:b/>
        </w:rPr>
        <w:t xml:space="preserve">The goal is to see if there are high-risk genes that lead to vagal-withdrawal (Emory). If there are, those variants likely increase risk of pAF as well and we can see it (UIC).</w:t>
      </w:r>
    </w:p>
    <w:p>
      <w:pPr>
        <w:numPr>
          <w:ilvl w:val="0"/>
          <w:numId w:val="1003"/>
        </w:numPr>
        <w:pStyle w:val="Compact"/>
      </w:pPr>
      <w:r>
        <w:t xml:space="preserve">Will evaluate patients identify as high-risk of vagal withdrawal to stress (MSI-VTA). This is rest + stress reactivity vagal withdrawal.</w:t>
      </w:r>
    </w:p>
    <w:p>
      <w:pPr>
        <w:numPr>
          <w:ilvl w:val="0"/>
          <w:numId w:val="1003"/>
        </w:numPr>
        <w:pStyle w:val="Compact"/>
      </w:pPr>
      <w:r>
        <w:t xml:space="preserve">Evaluate common genetic variants in this population in those that did GWAS.</w:t>
      </w:r>
    </w:p>
    <w:p>
      <w:pPr>
        <w:numPr>
          <w:ilvl w:val="0"/>
          <w:numId w:val="1003"/>
        </w:numPr>
        <w:pStyle w:val="Compact"/>
      </w:pPr>
      <w:r>
        <w:t xml:space="preserve">Use WES/next-gen sequencing to look for novel variants</w:t>
      </w:r>
    </w:p>
    <w:p>
      <w:pPr>
        <w:numPr>
          <w:ilvl w:val="0"/>
          <w:numId w:val="1003"/>
        </w:numPr>
        <w:pStyle w:val="Compact"/>
      </w:pPr>
      <w:r>
        <w:t xml:space="preserve">Identify these variants and look at them in the AF population at UIC.</w:t>
      </w:r>
    </w:p>
    <w:p>
      <w:pPr>
        <w:numPr>
          <w:ilvl w:val="0"/>
          <w:numId w:val="1003"/>
        </w:numPr>
        <w:pStyle w:val="Compact"/>
      </w:pPr>
      <w:r>
        <w:t xml:space="preserve">See if these variants or polymorphisms are related to the VTA-pAF phenotype, AF burden, recurrence after ablation.</w:t>
      </w:r>
    </w:p>
    <w:p>
      <w:pPr>
        <w:pStyle w:val="FirstParagraph"/>
      </w:pPr>
      <w:r>
        <w:rPr>
          <w:bCs/>
          <w:b/>
        </w:rPr>
        <w:t xml:space="preserve">Aim 3: Evaluate the role of ANS receptor polymorphisms with vagally-triggered arrhythmias.</w:t>
      </w:r>
      <w:r>
        <w:t xml:space="preserve"> </w:t>
      </w:r>
      <w:r>
        <w:t xml:space="preserve">a. We will identify individuals that are classified as having resting and stress-induced vagal withdrawal with their risk of CV mortality. We will obtain next-generation sequencing on those individuals.</w:t>
      </w:r>
      <w:r>
        <w:t xml:space="preserve"> </w:t>
      </w:r>
      <w:r>
        <w:rPr>
          <w:u w:val="single"/>
          <w:iCs/>
          <w:i/>
        </w:rPr>
        <w:t xml:space="preserve">Hypothesis</w:t>
      </w:r>
      <w:r>
        <w:rPr>
          <w:iCs/>
          <w:i/>
        </w:rPr>
        <w:t xml:space="preserve">: Novel variants exist that may explain the risk of vagally-triggered arrhythmias.</w:t>
      </w:r>
      <w:r>
        <w:br/>
      </w:r>
      <w:r>
        <w:t xml:space="preserve">a. A candidate gene-approach can be used to identify common variants in cardiovagal outflow receptors (Y2R and Gal1R).</w:t>
      </w:r>
      <w:r>
        <w:t xml:space="preserve"> </w:t>
      </w:r>
      <w:r>
        <w:rPr>
          <w:u w:val="single"/>
          <w:iCs/>
          <w:i/>
        </w:rPr>
        <w:t xml:space="preserve">Hypothesis</w:t>
      </w:r>
      <w:r>
        <w:rPr>
          <w:iCs/>
          <w:i/>
        </w:rPr>
        <w:t xml:space="preserve">: In triggered pAF, those classified in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1c</w:t>
      </w:r>
      <w:r>
        <w:rPr>
          <w:iCs/>
          <w:i/>
        </w:rPr>
        <w:t xml:space="preserve">, will have an increased rate of receptor polymorphisms.</w:t>
      </w:r>
    </w:p>
    <w:bookmarkEnd w:id="22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2023-02-25T22:27:54Z</dcterms:created>
  <dcterms:modified xsi:type="dcterms:W3CDTF">2023-02-25T22:27:54Z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