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FC5E7" w14:textId="0615BEE9" w:rsidR="00EE6F50" w:rsidRPr="0096276F" w:rsidRDefault="00EE6F50" w:rsidP="00D62724">
      <w:pPr>
        <w:pStyle w:val="NoSpacing"/>
        <w:rPr>
          <w:b/>
        </w:rPr>
      </w:pPr>
      <w:r w:rsidRPr="0096276F">
        <w:rPr>
          <w:b/>
        </w:rPr>
        <w:t xml:space="preserve">C. </w:t>
      </w:r>
      <w:r w:rsidR="00571322" w:rsidRPr="0096276F">
        <w:rPr>
          <w:b/>
        </w:rPr>
        <w:t>INNOVATION</w:t>
      </w:r>
    </w:p>
    <w:p w14:paraId="61F8AF45" w14:textId="77777777" w:rsidR="00D62724" w:rsidRDefault="00D62724" w:rsidP="00D62724">
      <w:pPr>
        <w:pStyle w:val="NoSpacing"/>
        <w:ind w:left="360"/>
      </w:pPr>
    </w:p>
    <w:p w14:paraId="1D9EFADD" w14:textId="7A049471" w:rsidR="008D07A8" w:rsidRDefault="00EE20DA" w:rsidP="008D07A8">
      <w:pPr>
        <w:pStyle w:val="NoSpacing"/>
      </w:pPr>
      <w:r>
        <w:t>The major innovation in this proposal is that a low-cost ECG-based measure</w:t>
      </w:r>
      <w:r w:rsidR="004F0589">
        <w:t xml:space="preserve"> (</w:t>
      </w:r>
      <w:proofErr w:type="spellStart"/>
      <w:r w:rsidR="004F0589">
        <w:rPr>
          <w:i/>
        </w:rPr>
        <w:t>Dyx</w:t>
      </w:r>
      <w:proofErr w:type="spellEnd"/>
      <w:r w:rsidR="004F0589">
        <w:t>)</w:t>
      </w:r>
      <w:r>
        <w:t xml:space="preserve"> will provide a robust measure of autonomic regulation in </w:t>
      </w:r>
      <w:r w:rsidR="004F0589">
        <w:t>disturbances of the neurocardiac axis</w:t>
      </w:r>
      <w:r w:rsidR="00D72098">
        <w:t xml:space="preserve">. </w:t>
      </w:r>
      <w:proofErr w:type="spellStart"/>
      <w:r w:rsidR="008D07A8">
        <w:rPr>
          <w:i/>
        </w:rPr>
        <w:t>Dyx</w:t>
      </w:r>
      <w:proofErr w:type="spellEnd"/>
      <w:r w:rsidR="008D07A8">
        <w:t xml:space="preserve"> is an innovative, novel measure and has advantages to other HRV indices. </w:t>
      </w:r>
      <w:r w:rsidR="00F6717C">
        <w:t xml:space="preserve">We include the effect of time of day, unlike prior studies, as </w:t>
      </w:r>
      <w:proofErr w:type="spellStart"/>
      <w:r w:rsidR="00F6717C">
        <w:rPr>
          <w:i/>
        </w:rPr>
        <w:t>Dyx</w:t>
      </w:r>
      <w:proofErr w:type="spellEnd"/>
      <w:r w:rsidR="00F6717C">
        <w:t xml:space="preserve"> follows a circadian pattern. </w:t>
      </w:r>
      <w:r w:rsidR="008D07A8">
        <w:t xml:space="preserve">This tool, as it is ECG-based, will have a low barrier to wide-spread implementation. The data for this study can also be collected non-invasively, using the </w:t>
      </w:r>
      <w:proofErr w:type="spellStart"/>
      <w:r w:rsidR="008D07A8">
        <w:t>Biostamp</w:t>
      </w:r>
      <w:proofErr w:type="spellEnd"/>
      <w:r w:rsidR="008D07A8">
        <w:t xml:space="preserve"> patch, and the generation of the </w:t>
      </w:r>
      <w:proofErr w:type="spellStart"/>
      <w:r w:rsidR="008D07A8">
        <w:rPr>
          <w:i/>
        </w:rPr>
        <w:t>Dyx</w:t>
      </w:r>
      <w:proofErr w:type="spellEnd"/>
      <w:r w:rsidR="008D07A8">
        <w:t xml:space="preserve"> index can be performed by current commercial technology (</w:t>
      </w:r>
      <w:proofErr w:type="spellStart"/>
      <w:r w:rsidR="008D07A8">
        <w:t>HeartTrends</w:t>
      </w:r>
      <w:proofErr w:type="spellEnd"/>
      <w:r w:rsidR="008D07A8">
        <w:t xml:space="preserve"> algorithm). </w:t>
      </w:r>
      <w:r w:rsidR="008D07A8">
        <w:t xml:space="preserve">Overall, </w:t>
      </w:r>
      <w:proofErr w:type="spellStart"/>
      <w:r w:rsidR="008D07A8">
        <w:rPr>
          <w:i/>
        </w:rPr>
        <w:t>Dyx</w:t>
      </w:r>
      <w:proofErr w:type="spellEnd"/>
      <w:r w:rsidR="008D07A8">
        <w:t xml:space="preserve"> will serve as a better clinical tool for risk prediction for IHD as well as a better research tool in understanding autonomic mechanisms in IHD.</w:t>
      </w:r>
    </w:p>
    <w:p w14:paraId="490FB0DD" w14:textId="77777777" w:rsidR="00F6717C" w:rsidRDefault="00F6717C" w:rsidP="00F6717C">
      <w:pPr>
        <w:pStyle w:val="NoSpacing"/>
      </w:pPr>
    </w:p>
    <w:p w14:paraId="19BBE80F" w14:textId="35B6825B" w:rsidR="00B304E9" w:rsidRDefault="00D51729" w:rsidP="006F3823">
      <w:pPr>
        <w:pStyle w:val="NoSpacing"/>
      </w:pPr>
      <w:r>
        <w:t>Autonomic dysfunction, measure</w:t>
      </w:r>
      <w:bookmarkStart w:id="0" w:name="_GoBack"/>
      <w:bookmarkEnd w:id="0"/>
      <w:r>
        <w:t xml:space="preserve">d by abnormal HRV, has </w:t>
      </w:r>
      <w:r w:rsidR="00B304E9">
        <w:t>not yet</w:t>
      </w:r>
      <w:r>
        <w:t xml:space="preserve"> </w:t>
      </w:r>
      <w:r w:rsidR="00CB2A1F">
        <w:t>been used</w:t>
      </w:r>
      <w:r>
        <w:t xml:space="preserve"> as a clinical tool to stratify patients at risk for developing IHD. This project not only studies a novel</w:t>
      </w:r>
      <w:r w:rsidR="00893C43">
        <w:t>,</w:t>
      </w:r>
      <w:r>
        <w:t xml:space="preserve"> non-linear HRV index </w:t>
      </w:r>
      <w:proofErr w:type="spellStart"/>
      <w:r w:rsidRPr="00B304E9">
        <w:rPr>
          <w:i/>
        </w:rPr>
        <w:t>Dyx</w:t>
      </w:r>
      <w:proofErr w:type="spellEnd"/>
      <w:r>
        <w:t xml:space="preserve">, </w:t>
      </w:r>
      <w:r w:rsidR="00893C43">
        <w:t xml:space="preserve">it advances the field by correlating HRV with </w:t>
      </w:r>
      <w:r>
        <w:t>coronary angiograph</w:t>
      </w:r>
      <w:r w:rsidR="00117961">
        <w:t>y</w:t>
      </w:r>
      <w:r>
        <w:t xml:space="preserve"> finding</w:t>
      </w:r>
      <w:r w:rsidR="00117961">
        <w:t xml:space="preserve">s. </w:t>
      </w:r>
      <w:r w:rsidR="005966C5">
        <w:t xml:space="preserve">Currently, risk-stratification for IHD is based on traditional risk factors, such as the Framingham risk score, and other well-known contributors to cardiovascular disease. </w:t>
      </w:r>
      <w:r w:rsidR="00B304E9">
        <w:t xml:space="preserve">Although </w:t>
      </w:r>
      <w:proofErr w:type="spellStart"/>
      <w:r w:rsidR="00B304E9">
        <w:rPr>
          <w:i/>
        </w:rPr>
        <w:t>Dyx</w:t>
      </w:r>
      <w:proofErr w:type="spellEnd"/>
      <w:r w:rsidR="00B304E9">
        <w:rPr>
          <w:i/>
        </w:rPr>
        <w:t xml:space="preserve"> </w:t>
      </w:r>
      <w:r w:rsidR="00B304E9">
        <w:t>is an independent prognostic marker,</w:t>
      </w:r>
      <w:r w:rsidR="00F6717C">
        <w:fldChar w:fldCharType="begin" w:fldLock="1"/>
      </w:r>
      <w:r w:rsidR="00F6717C">
        <w:instrText>ADDIN CSL_CITATION {"citationItems":[{"id":"ITEM-1","itemData":{"DOI":"10.1093/europace/euu394","ISBN":"1532-2092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-1","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1&lt;/sup&gt;","plainTextFormattedCitation":"1"},"properties":{"noteIndex":0},"schema":"https://github.com/citation-style-language/schema/raw/master/csl-citation.json"}</w:instrText>
      </w:r>
      <w:r w:rsidR="00F6717C">
        <w:fldChar w:fldCharType="separate"/>
      </w:r>
      <w:r w:rsidR="00F6717C" w:rsidRPr="00F6717C">
        <w:rPr>
          <w:noProof/>
          <w:vertAlign w:val="superscript"/>
        </w:rPr>
        <w:t>1</w:t>
      </w:r>
      <w:r w:rsidR="00F6717C">
        <w:fldChar w:fldCharType="end"/>
      </w:r>
      <w:r w:rsidR="00B304E9">
        <w:t xml:space="preserve"> we can evaluate its diagnostic utility in IHD.</w:t>
      </w:r>
      <w:r w:rsidR="008D07A8">
        <w:t xml:space="preserve"> Other older HRV indices, such as g</w:t>
      </w:r>
      <w:r w:rsidR="008D07A8">
        <w:t>eometric and frequency domain</w:t>
      </w:r>
      <w:r w:rsidR="008D07A8">
        <w:t xml:space="preserve">, are less prognostic for </w:t>
      </w:r>
      <w:r w:rsidR="008D07A8">
        <w:t>cardiovascular mortality and are not successful at predicting IHD.</w:t>
      </w:r>
    </w:p>
    <w:p w14:paraId="19AE1D40" w14:textId="47A4E52F" w:rsidR="008E576F" w:rsidRDefault="008E576F" w:rsidP="006F3823">
      <w:pPr>
        <w:pStyle w:val="NoSpacing"/>
      </w:pPr>
    </w:p>
    <w:p w14:paraId="7FABBCE5" w14:textId="12607025" w:rsidR="009E60A4" w:rsidRPr="008D07A8" w:rsidRDefault="008E576F" w:rsidP="008D07A8">
      <w:pPr>
        <w:pStyle w:val="NoSpacing"/>
      </w:pPr>
      <w:r>
        <w:t xml:space="preserve">Our approach also allows us to look at the effects of brain-correlates on autonomic function using a quantifiable </w:t>
      </w:r>
      <w:r w:rsidR="00A0027A">
        <w:t>measure. There are many studies that demonstrate psychological factors can increase cardiac risk,</w:t>
      </w:r>
      <w:r w:rsidR="00F6717C">
        <w:fldChar w:fldCharType="begin" w:fldLock="1"/>
      </w:r>
      <w:r w:rsidR="00F6717C">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id":"ITEM-2","itemData":{"DOI":"10.1161/01.CIR.0000031733.51374.C1","ISBN":"0009-7322","ISSN":"00097322","PMID":"12356633","abstract":"BACKGROUND: Observational studies have suggested that psychological stress increases the incidence of sudden cardiac death. Whether emotional or physical stressors can trigger spontaneous ventricular arrhythmias in patients at risk has not been systematically evaluated. METHODS AND RESULTS: Patients with implantable cardioverter-defibrillators (ICDs) were given diaries to record levels of defined mood states and physical activity, using a 5-point intensity scale, during 2 periods preceding spontaneously occurring ICD shocks (0 to 15 minutes and 15 minutes to 2 hours) and during control periods 1 week later. ICD-stored electrograms confirmed the rhythm at the time of shock. A total of 107 confirmed ventricular arrhythmias requiring shock were reported by 42 patients (33 men; mean age, 65 years; 78% had coronary artery disease) between August 1996 and September 1999. In the 15 minutes preceding shock, an anger level &gt; or =3 preceded 15% of events compared with 3% of control periods (P&lt;0.04; odds ratio, 1.83; 95% confidence intervals, 1.04 to 3.16) Other mood states (anxiety, worry, sadness, happiness, challenge, feeling in control, or interest) did not differ. Patients were more physically active preceding shock than in control periods. Anger and physical activity were independently associated with the preshock period. CONCLUSIONS: Anger and physical activity can trigger ventricular arrhythmias in patients with ICDs. Future investigations of therapies aimed at blocking a response to these stressors may decrease ventricular arrhythmias and shocks in these patients.","author":[{"dropping-particle":"","family":"Lampert","given":"Rachel","non-dropping-particle":"","parse-names":false,"suffix":""},{"dropping-particle":"","family":"Joska","given":"Tammy","non-dropping-particle":"","parse-names":false,"suffix":""},{"dropping-particle":"","family":"Burg","given":"Matthew M","non-dropping-particle":"","parse-names":false,"suffix":""},{"dropping-particle":"","family":"Batsford","given":"William P","non-dropping-particle":"","parse-names":false,"suffix":""},{"dropping-particle":"","family":"McPherson","given":"Craig A","non-dropping-particle":"","parse-names":false,"suffix":""},{"dropping-particle":"","family":"Jain","given":"Diwakar","non-dropping-particle":"","parse-names":false,"suffix":""}],"container-title":"Circulation","id":"ITEM-2","issue":"14","issued":{"date-parts":[["2002"]]},"page":"1800-1805","title":"Emotional and physical precipitants of ventricular arrhythmia","type":"article-journal","volume":"106"},"uris":["http://www.mendeley.com/documents/?uuid=2563fe17-678f-472f-9928-667fab5b699c"]}],"mendeley":{"formattedCitation":"&lt;sup&gt;2,3&lt;/sup&gt;","plainTextFormattedCitation":"2,3","previouslyFormattedCitation":"&lt;sup&gt;1,2&lt;/sup&gt;"},"properties":{"noteIndex":0},"schema":"https://github.com/citation-style-language/schema/raw/master/csl-citation.json"}</w:instrText>
      </w:r>
      <w:r w:rsidR="00F6717C">
        <w:fldChar w:fldCharType="separate"/>
      </w:r>
      <w:r w:rsidR="00F6717C" w:rsidRPr="00F6717C">
        <w:rPr>
          <w:noProof/>
          <w:vertAlign w:val="superscript"/>
        </w:rPr>
        <w:t>2,3</w:t>
      </w:r>
      <w:r w:rsidR="00F6717C">
        <w:fldChar w:fldCharType="end"/>
      </w:r>
      <w:r w:rsidR="00A0027A">
        <w:t xml:space="preserve"> such as through ventricular arrhythmia, but there are no readily-available tools to study the </w:t>
      </w:r>
      <w:r w:rsidR="00F6717C">
        <w:t>underlying mechanism</w:t>
      </w:r>
      <w:r w:rsidR="00A0027A">
        <w:t xml:space="preserve">. </w:t>
      </w:r>
      <w:proofErr w:type="spellStart"/>
      <w:r w:rsidR="00A0027A">
        <w:rPr>
          <w:i/>
        </w:rPr>
        <w:t>Dyx</w:t>
      </w:r>
      <w:proofErr w:type="spellEnd"/>
      <w:r w:rsidR="00A0027A">
        <w:t xml:space="preserve">, which has not yet been studied, </w:t>
      </w:r>
      <w:r w:rsidR="00F6717C">
        <w:t>shows promise as a more robust HRV index and future work will help to identify directionality and causality.</w:t>
      </w:r>
    </w:p>
    <w:sectPr w:rsidR="009E60A4" w:rsidRPr="008D07A8" w:rsidSect="0080280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0088F"/>
    <w:multiLevelType w:val="hybridMultilevel"/>
    <w:tmpl w:val="85E87F08"/>
    <w:lvl w:ilvl="0" w:tplc="D4625E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87DDE"/>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B4679"/>
    <w:multiLevelType w:val="hybridMultilevel"/>
    <w:tmpl w:val="A224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1761B"/>
    <w:multiLevelType w:val="hybridMultilevel"/>
    <w:tmpl w:val="C6927242"/>
    <w:lvl w:ilvl="0" w:tplc="9F6A3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40821"/>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056E30"/>
    <w:multiLevelType w:val="hybridMultilevel"/>
    <w:tmpl w:val="F6C8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D45EB"/>
    <w:multiLevelType w:val="hybridMultilevel"/>
    <w:tmpl w:val="F424C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6B4987"/>
    <w:multiLevelType w:val="hybridMultilevel"/>
    <w:tmpl w:val="9B4EA094"/>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9F76D7"/>
    <w:multiLevelType w:val="hybridMultilevel"/>
    <w:tmpl w:val="0E9A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9074F44"/>
    <w:multiLevelType w:val="hybridMultilevel"/>
    <w:tmpl w:val="4F8AB66A"/>
    <w:lvl w:ilvl="0" w:tplc="D4625EAC">
      <w:start w:val="2"/>
      <w:numFmt w:val="bullet"/>
      <w:lvlText w:val="-"/>
      <w:lvlJc w:val="left"/>
      <w:pPr>
        <w:ind w:left="360" w:hanging="360"/>
      </w:pPr>
      <w:rPr>
        <w:rFonts w:ascii="Arial" w:eastAsia="Times New Roman" w:hAnsi="Arial" w:cs="Arial"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5"/>
  </w:num>
  <w:num w:numId="4">
    <w:abstractNumId w:val="17"/>
  </w:num>
  <w:num w:numId="5">
    <w:abstractNumId w:val="16"/>
  </w:num>
  <w:num w:numId="6">
    <w:abstractNumId w:val="23"/>
  </w:num>
  <w:num w:numId="7">
    <w:abstractNumId w:val="18"/>
  </w:num>
  <w:num w:numId="8">
    <w:abstractNumId w:val="11"/>
  </w:num>
  <w:num w:numId="9">
    <w:abstractNumId w:val="28"/>
  </w:num>
  <w:num w:numId="10">
    <w:abstractNumId w:val="8"/>
  </w:num>
  <w:num w:numId="11">
    <w:abstractNumId w:val="9"/>
  </w:num>
  <w:num w:numId="12">
    <w:abstractNumId w:val="1"/>
  </w:num>
  <w:num w:numId="13">
    <w:abstractNumId w:val="33"/>
  </w:num>
  <w:num w:numId="14">
    <w:abstractNumId w:val="31"/>
  </w:num>
  <w:num w:numId="15">
    <w:abstractNumId w:val="36"/>
  </w:num>
  <w:num w:numId="16">
    <w:abstractNumId w:val="19"/>
  </w:num>
  <w:num w:numId="17">
    <w:abstractNumId w:val="5"/>
  </w:num>
  <w:num w:numId="18">
    <w:abstractNumId w:val="25"/>
  </w:num>
  <w:num w:numId="19">
    <w:abstractNumId w:val="22"/>
  </w:num>
  <w:num w:numId="20">
    <w:abstractNumId w:val="29"/>
  </w:num>
  <w:num w:numId="21">
    <w:abstractNumId w:val="3"/>
  </w:num>
  <w:num w:numId="22">
    <w:abstractNumId w:val="2"/>
  </w:num>
  <w:num w:numId="23">
    <w:abstractNumId w:val="7"/>
  </w:num>
  <w:num w:numId="24">
    <w:abstractNumId w:val="15"/>
  </w:num>
  <w:num w:numId="25">
    <w:abstractNumId w:val="13"/>
  </w:num>
  <w:num w:numId="26">
    <w:abstractNumId w:val="4"/>
  </w:num>
  <w:num w:numId="27">
    <w:abstractNumId w:val="0"/>
  </w:num>
  <w:num w:numId="28">
    <w:abstractNumId w:val="12"/>
  </w:num>
  <w:num w:numId="29">
    <w:abstractNumId w:val="26"/>
  </w:num>
  <w:num w:numId="30">
    <w:abstractNumId w:val="30"/>
  </w:num>
  <w:num w:numId="31">
    <w:abstractNumId w:val="14"/>
  </w:num>
  <w:num w:numId="32">
    <w:abstractNumId w:val="20"/>
  </w:num>
  <w:num w:numId="33">
    <w:abstractNumId w:val="10"/>
  </w:num>
  <w:num w:numId="34">
    <w:abstractNumId w:val="34"/>
  </w:num>
  <w:num w:numId="35">
    <w:abstractNumId w:val="27"/>
  </w:num>
  <w:num w:numId="36">
    <w:abstractNumId w:val="3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5A"/>
    <w:rsid w:val="00014D8C"/>
    <w:rsid w:val="000267DD"/>
    <w:rsid w:val="00042D1A"/>
    <w:rsid w:val="00056A5F"/>
    <w:rsid w:val="00073F1E"/>
    <w:rsid w:val="00095034"/>
    <w:rsid w:val="000A16C1"/>
    <w:rsid w:val="000C3D6E"/>
    <w:rsid w:val="000C4845"/>
    <w:rsid w:val="000E1833"/>
    <w:rsid w:val="00117961"/>
    <w:rsid w:val="00121C90"/>
    <w:rsid w:val="0013599B"/>
    <w:rsid w:val="00142A82"/>
    <w:rsid w:val="00161D36"/>
    <w:rsid w:val="00171075"/>
    <w:rsid w:val="001734B8"/>
    <w:rsid w:val="00186478"/>
    <w:rsid w:val="001B3732"/>
    <w:rsid w:val="001D1D49"/>
    <w:rsid w:val="001D3FCA"/>
    <w:rsid w:val="002076EF"/>
    <w:rsid w:val="0024055E"/>
    <w:rsid w:val="00241E22"/>
    <w:rsid w:val="002523C6"/>
    <w:rsid w:val="0026422C"/>
    <w:rsid w:val="00264D93"/>
    <w:rsid w:val="002763C1"/>
    <w:rsid w:val="00287938"/>
    <w:rsid w:val="0029732B"/>
    <w:rsid w:val="00297894"/>
    <w:rsid w:val="002A7049"/>
    <w:rsid w:val="002C33DE"/>
    <w:rsid w:val="002C46E8"/>
    <w:rsid w:val="002C589B"/>
    <w:rsid w:val="002C7C84"/>
    <w:rsid w:val="002D2198"/>
    <w:rsid w:val="00325531"/>
    <w:rsid w:val="00332AC9"/>
    <w:rsid w:val="00335207"/>
    <w:rsid w:val="00340522"/>
    <w:rsid w:val="003429DD"/>
    <w:rsid w:val="0037157D"/>
    <w:rsid w:val="00385EF0"/>
    <w:rsid w:val="003A7BF6"/>
    <w:rsid w:val="003D367C"/>
    <w:rsid w:val="003D5D1C"/>
    <w:rsid w:val="00430908"/>
    <w:rsid w:val="00435D2E"/>
    <w:rsid w:val="00435FC0"/>
    <w:rsid w:val="004376F2"/>
    <w:rsid w:val="00437E98"/>
    <w:rsid w:val="00457A7F"/>
    <w:rsid w:val="004743E7"/>
    <w:rsid w:val="004B6C17"/>
    <w:rsid w:val="004B6E38"/>
    <w:rsid w:val="004D0391"/>
    <w:rsid w:val="004D40C8"/>
    <w:rsid w:val="004D574C"/>
    <w:rsid w:val="004E13E1"/>
    <w:rsid w:val="004E5BBD"/>
    <w:rsid w:val="004F0589"/>
    <w:rsid w:val="004F171E"/>
    <w:rsid w:val="00507D76"/>
    <w:rsid w:val="00511F84"/>
    <w:rsid w:val="005270DE"/>
    <w:rsid w:val="00545215"/>
    <w:rsid w:val="005472C2"/>
    <w:rsid w:val="00571322"/>
    <w:rsid w:val="005966C5"/>
    <w:rsid w:val="005A3346"/>
    <w:rsid w:val="005A721D"/>
    <w:rsid w:val="005B0EFE"/>
    <w:rsid w:val="005C0845"/>
    <w:rsid w:val="005C6ED6"/>
    <w:rsid w:val="005E1B3E"/>
    <w:rsid w:val="005F3E9F"/>
    <w:rsid w:val="006267E6"/>
    <w:rsid w:val="00663A1E"/>
    <w:rsid w:val="006654D6"/>
    <w:rsid w:val="006801BC"/>
    <w:rsid w:val="006866B9"/>
    <w:rsid w:val="006B718A"/>
    <w:rsid w:val="006B7B1E"/>
    <w:rsid w:val="006C2BF5"/>
    <w:rsid w:val="006D3AFE"/>
    <w:rsid w:val="006D6483"/>
    <w:rsid w:val="006F1AD4"/>
    <w:rsid w:val="006F3823"/>
    <w:rsid w:val="006F5DD3"/>
    <w:rsid w:val="00701AF6"/>
    <w:rsid w:val="00716967"/>
    <w:rsid w:val="007206F0"/>
    <w:rsid w:val="00724A5B"/>
    <w:rsid w:val="00742A28"/>
    <w:rsid w:val="00744726"/>
    <w:rsid w:val="00755E39"/>
    <w:rsid w:val="00760DF6"/>
    <w:rsid w:val="00785F8A"/>
    <w:rsid w:val="007A682D"/>
    <w:rsid w:val="007C17CF"/>
    <w:rsid w:val="007C485C"/>
    <w:rsid w:val="007C7484"/>
    <w:rsid w:val="007D10A5"/>
    <w:rsid w:val="007E55E9"/>
    <w:rsid w:val="00801C74"/>
    <w:rsid w:val="00802800"/>
    <w:rsid w:val="008202DE"/>
    <w:rsid w:val="00823FC6"/>
    <w:rsid w:val="00827848"/>
    <w:rsid w:val="00835839"/>
    <w:rsid w:val="008514F8"/>
    <w:rsid w:val="00871D7B"/>
    <w:rsid w:val="00873EB1"/>
    <w:rsid w:val="008929FF"/>
    <w:rsid w:val="00893C43"/>
    <w:rsid w:val="00895047"/>
    <w:rsid w:val="00895434"/>
    <w:rsid w:val="00897BBF"/>
    <w:rsid w:val="008A2C77"/>
    <w:rsid w:val="008A3781"/>
    <w:rsid w:val="008B038A"/>
    <w:rsid w:val="008B2A91"/>
    <w:rsid w:val="008B74D2"/>
    <w:rsid w:val="008D07A8"/>
    <w:rsid w:val="008D1CA9"/>
    <w:rsid w:val="008D2F02"/>
    <w:rsid w:val="008E17F7"/>
    <w:rsid w:val="008E576F"/>
    <w:rsid w:val="008F44D3"/>
    <w:rsid w:val="008F450C"/>
    <w:rsid w:val="009003A1"/>
    <w:rsid w:val="00900BC7"/>
    <w:rsid w:val="00917297"/>
    <w:rsid w:val="0092692C"/>
    <w:rsid w:val="00937184"/>
    <w:rsid w:val="00937977"/>
    <w:rsid w:val="0096276F"/>
    <w:rsid w:val="00993013"/>
    <w:rsid w:val="009C292D"/>
    <w:rsid w:val="009C71AD"/>
    <w:rsid w:val="009D1DAF"/>
    <w:rsid w:val="009E30E2"/>
    <w:rsid w:val="009E60A4"/>
    <w:rsid w:val="009F3A20"/>
    <w:rsid w:val="009F5682"/>
    <w:rsid w:val="009F7149"/>
    <w:rsid w:val="00A0027A"/>
    <w:rsid w:val="00A07C0B"/>
    <w:rsid w:val="00A13D4D"/>
    <w:rsid w:val="00A21E38"/>
    <w:rsid w:val="00A33865"/>
    <w:rsid w:val="00A60DF6"/>
    <w:rsid w:val="00A75C16"/>
    <w:rsid w:val="00A8448C"/>
    <w:rsid w:val="00A84FC2"/>
    <w:rsid w:val="00AB0278"/>
    <w:rsid w:val="00AC25FB"/>
    <w:rsid w:val="00AC5CA0"/>
    <w:rsid w:val="00AD561D"/>
    <w:rsid w:val="00AE0773"/>
    <w:rsid w:val="00AE53E6"/>
    <w:rsid w:val="00AF5FF4"/>
    <w:rsid w:val="00B00753"/>
    <w:rsid w:val="00B043D5"/>
    <w:rsid w:val="00B047BC"/>
    <w:rsid w:val="00B13D2B"/>
    <w:rsid w:val="00B304E9"/>
    <w:rsid w:val="00B3391F"/>
    <w:rsid w:val="00B355C1"/>
    <w:rsid w:val="00B401BB"/>
    <w:rsid w:val="00B520D2"/>
    <w:rsid w:val="00B66547"/>
    <w:rsid w:val="00B776B0"/>
    <w:rsid w:val="00B865F0"/>
    <w:rsid w:val="00BA1BE9"/>
    <w:rsid w:val="00BA3521"/>
    <w:rsid w:val="00BA456A"/>
    <w:rsid w:val="00BB306C"/>
    <w:rsid w:val="00BC1986"/>
    <w:rsid w:val="00BC6296"/>
    <w:rsid w:val="00BD5A3D"/>
    <w:rsid w:val="00BE578F"/>
    <w:rsid w:val="00BF4C04"/>
    <w:rsid w:val="00C036B8"/>
    <w:rsid w:val="00C044E1"/>
    <w:rsid w:val="00C1092F"/>
    <w:rsid w:val="00C44368"/>
    <w:rsid w:val="00C46284"/>
    <w:rsid w:val="00C809B3"/>
    <w:rsid w:val="00CA6EA8"/>
    <w:rsid w:val="00CB1FF4"/>
    <w:rsid w:val="00CB2A1F"/>
    <w:rsid w:val="00CB48D7"/>
    <w:rsid w:val="00CB600F"/>
    <w:rsid w:val="00CC3B2F"/>
    <w:rsid w:val="00CC7CAE"/>
    <w:rsid w:val="00CF3991"/>
    <w:rsid w:val="00CF5298"/>
    <w:rsid w:val="00CF730C"/>
    <w:rsid w:val="00D270EE"/>
    <w:rsid w:val="00D42D04"/>
    <w:rsid w:val="00D43313"/>
    <w:rsid w:val="00D465E3"/>
    <w:rsid w:val="00D51371"/>
    <w:rsid w:val="00D51729"/>
    <w:rsid w:val="00D5202A"/>
    <w:rsid w:val="00D62724"/>
    <w:rsid w:val="00D70C08"/>
    <w:rsid w:val="00D72098"/>
    <w:rsid w:val="00D8081A"/>
    <w:rsid w:val="00D863FF"/>
    <w:rsid w:val="00D95383"/>
    <w:rsid w:val="00DC675E"/>
    <w:rsid w:val="00DD4DF5"/>
    <w:rsid w:val="00DD5466"/>
    <w:rsid w:val="00E04688"/>
    <w:rsid w:val="00E161F6"/>
    <w:rsid w:val="00E3271B"/>
    <w:rsid w:val="00E41439"/>
    <w:rsid w:val="00E419E3"/>
    <w:rsid w:val="00E53A86"/>
    <w:rsid w:val="00E6167F"/>
    <w:rsid w:val="00E77929"/>
    <w:rsid w:val="00E90564"/>
    <w:rsid w:val="00E94EFE"/>
    <w:rsid w:val="00EB02DB"/>
    <w:rsid w:val="00ED7C5E"/>
    <w:rsid w:val="00EE0864"/>
    <w:rsid w:val="00EE20DA"/>
    <w:rsid w:val="00EE35FB"/>
    <w:rsid w:val="00EE6F50"/>
    <w:rsid w:val="00F0092B"/>
    <w:rsid w:val="00F019ED"/>
    <w:rsid w:val="00F07FF7"/>
    <w:rsid w:val="00F175EC"/>
    <w:rsid w:val="00F17E6F"/>
    <w:rsid w:val="00F24209"/>
    <w:rsid w:val="00F300B5"/>
    <w:rsid w:val="00F352B1"/>
    <w:rsid w:val="00F366FB"/>
    <w:rsid w:val="00F40568"/>
    <w:rsid w:val="00F4380D"/>
    <w:rsid w:val="00F45086"/>
    <w:rsid w:val="00F53482"/>
    <w:rsid w:val="00F660E6"/>
    <w:rsid w:val="00F66520"/>
    <w:rsid w:val="00F6717C"/>
    <w:rsid w:val="00F721CC"/>
    <w:rsid w:val="00FA7EEF"/>
    <w:rsid w:val="00FB1FDB"/>
    <w:rsid w:val="00FC51EF"/>
    <w:rsid w:val="00FE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6F"/>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E90564"/>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90564"/>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ind w:left="720"/>
      <w:contextualSpacing/>
    </w:pPr>
  </w:style>
  <w:style w:type="character" w:customStyle="1" w:styleId="Heading1Char">
    <w:name w:val="Heading 1 Char"/>
    <w:basedOn w:val="DefaultParagraphFont"/>
    <w:link w:val="Heading1"/>
    <w:uiPriority w:val="9"/>
    <w:rsid w:val="00E90564"/>
    <w:rPr>
      <w:smallCaps/>
      <w:spacing w:val="5"/>
      <w:sz w:val="36"/>
      <w:szCs w:val="36"/>
    </w:rPr>
  </w:style>
  <w:style w:type="character" w:customStyle="1" w:styleId="Heading2Char">
    <w:name w:val="Heading 2 Char"/>
    <w:basedOn w:val="DefaultParagraphFont"/>
    <w:link w:val="Heading2"/>
    <w:uiPriority w:val="9"/>
    <w:semiHidden/>
    <w:rsid w:val="00E90564"/>
    <w:rPr>
      <w:smallCaps/>
      <w:sz w:val="28"/>
      <w:szCs w:val="28"/>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ascii="Times New Roman" w:hAnsi="Times New Roman" w:cs="Times New Roman"/>
      <w:sz w:val="24"/>
      <w:szCs w:val="24"/>
    </w:rPr>
  </w:style>
  <w:style w:type="paragraph" w:styleId="BodyText">
    <w:name w:val="Body Text"/>
    <w:basedOn w:val="Normal"/>
    <w:link w:val="BodyTextChar"/>
    <w:qFormat/>
    <w:rsid w:val="00AE0773"/>
    <w:pPr>
      <w:spacing w:before="180" w:after="180"/>
    </w:pPr>
    <w:rPr>
      <w:rFonts w:ascii="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203">
      <w:bodyDiv w:val="1"/>
      <w:marLeft w:val="0"/>
      <w:marRight w:val="0"/>
      <w:marTop w:val="0"/>
      <w:marBottom w:val="0"/>
      <w:divBdr>
        <w:top w:val="none" w:sz="0" w:space="0" w:color="auto"/>
        <w:left w:val="none" w:sz="0" w:space="0" w:color="auto"/>
        <w:bottom w:val="none" w:sz="0" w:space="0" w:color="auto"/>
        <w:right w:val="none" w:sz="0" w:space="0" w:color="auto"/>
      </w:divBdr>
      <w:divsChild>
        <w:div w:id="1052265210">
          <w:marLeft w:val="0"/>
          <w:marRight w:val="0"/>
          <w:marTop w:val="0"/>
          <w:marBottom w:val="0"/>
          <w:divBdr>
            <w:top w:val="none" w:sz="0" w:space="0" w:color="auto"/>
            <w:left w:val="none" w:sz="0" w:space="0" w:color="auto"/>
            <w:bottom w:val="none" w:sz="0" w:space="0" w:color="auto"/>
            <w:right w:val="none" w:sz="0" w:space="0" w:color="auto"/>
          </w:divBdr>
          <w:divsChild>
            <w:div w:id="799231080">
              <w:marLeft w:val="0"/>
              <w:marRight w:val="0"/>
              <w:marTop w:val="0"/>
              <w:marBottom w:val="0"/>
              <w:divBdr>
                <w:top w:val="none" w:sz="0" w:space="0" w:color="auto"/>
                <w:left w:val="none" w:sz="0" w:space="0" w:color="auto"/>
                <w:bottom w:val="none" w:sz="0" w:space="0" w:color="auto"/>
                <w:right w:val="none" w:sz="0" w:space="0" w:color="auto"/>
              </w:divBdr>
              <w:divsChild>
                <w:div w:id="2192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4135">
          <w:marLeft w:val="0"/>
          <w:marRight w:val="0"/>
          <w:marTop w:val="0"/>
          <w:marBottom w:val="0"/>
          <w:divBdr>
            <w:top w:val="none" w:sz="0" w:space="0" w:color="auto"/>
            <w:left w:val="none" w:sz="0" w:space="0" w:color="auto"/>
            <w:bottom w:val="none" w:sz="0" w:space="0" w:color="auto"/>
            <w:right w:val="none" w:sz="0" w:space="0" w:color="auto"/>
          </w:divBdr>
          <w:divsChild>
            <w:div w:id="1925147852">
              <w:marLeft w:val="0"/>
              <w:marRight w:val="0"/>
              <w:marTop w:val="0"/>
              <w:marBottom w:val="0"/>
              <w:divBdr>
                <w:top w:val="none" w:sz="0" w:space="0" w:color="auto"/>
                <w:left w:val="none" w:sz="0" w:space="0" w:color="auto"/>
                <w:bottom w:val="none" w:sz="0" w:space="0" w:color="auto"/>
                <w:right w:val="none" w:sz="0" w:space="0" w:color="auto"/>
              </w:divBdr>
              <w:divsChild>
                <w:div w:id="2005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848831863">
      <w:bodyDiv w:val="1"/>
      <w:marLeft w:val="0"/>
      <w:marRight w:val="0"/>
      <w:marTop w:val="0"/>
      <w:marBottom w:val="0"/>
      <w:divBdr>
        <w:top w:val="none" w:sz="0" w:space="0" w:color="auto"/>
        <w:left w:val="none" w:sz="0" w:space="0" w:color="auto"/>
        <w:bottom w:val="none" w:sz="0" w:space="0" w:color="auto"/>
        <w:right w:val="none" w:sz="0" w:space="0" w:color="auto"/>
      </w:divBdr>
      <w:divsChild>
        <w:div w:id="684399720">
          <w:marLeft w:val="0"/>
          <w:marRight w:val="0"/>
          <w:marTop w:val="0"/>
          <w:marBottom w:val="0"/>
          <w:divBdr>
            <w:top w:val="none" w:sz="0" w:space="0" w:color="auto"/>
            <w:left w:val="none" w:sz="0" w:space="0" w:color="auto"/>
            <w:bottom w:val="none" w:sz="0" w:space="0" w:color="auto"/>
            <w:right w:val="none" w:sz="0" w:space="0" w:color="auto"/>
          </w:divBdr>
          <w:divsChild>
            <w:div w:id="625934814">
              <w:marLeft w:val="0"/>
              <w:marRight w:val="0"/>
              <w:marTop w:val="0"/>
              <w:marBottom w:val="0"/>
              <w:divBdr>
                <w:top w:val="none" w:sz="0" w:space="0" w:color="auto"/>
                <w:left w:val="none" w:sz="0" w:space="0" w:color="auto"/>
                <w:bottom w:val="none" w:sz="0" w:space="0" w:color="auto"/>
                <w:right w:val="none" w:sz="0" w:space="0" w:color="auto"/>
              </w:divBdr>
              <w:divsChild>
                <w:div w:id="1102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530">
          <w:marLeft w:val="0"/>
          <w:marRight w:val="0"/>
          <w:marTop w:val="0"/>
          <w:marBottom w:val="0"/>
          <w:divBdr>
            <w:top w:val="none" w:sz="0" w:space="0" w:color="auto"/>
            <w:left w:val="none" w:sz="0" w:space="0" w:color="auto"/>
            <w:bottom w:val="none" w:sz="0" w:space="0" w:color="auto"/>
            <w:right w:val="none" w:sz="0" w:space="0" w:color="auto"/>
          </w:divBdr>
          <w:divsChild>
            <w:div w:id="1023019425">
              <w:marLeft w:val="0"/>
              <w:marRight w:val="0"/>
              <w:marTop w:val="0"/>
              <w:marBottom w:val="0"/>
              <w:divBdr>
                <w:top w:val="none" w:sz="0" w:space="0" w:color="auto"/>
                <w:left w:val="none" w:sz="0" w:space="0" w:color="auto"/>
                <w:bottom w:val="none" w:sz="0" w:space="0" w:color="auto"/>
                <w:right w:val="none" w:sz="0" w:space="0" w:color="auto"/>
              </w:divBdr>
              <w:divsChild>
                <w:div w:id="15076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B3ED-CA74-624D-960B-93F74302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132</cp:revision>
  <dcterms:created xsi:type="dcterms:W3CDTF">2019-01-31T01:17:00Z</dcterms:created>
  <dcterms:modified xsi:type="dcterms:W3CDTF">2019-03-13T23:06:00Z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