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Cardiovascular</w:t>
      </w:r>
      <w:r>
        <w:t xml:space="preserve"> </w:t>
      </w:r>
      <w:r>
        <w:t xml:space="preserve">Point-of-Care</w:t>
      </w:r>
      <w:r>
        <w:t xml:space="preserve"> </w:t>
      </w:r>
      <w:r>
        <w:t xml:space="preserve">Ultrasonography</w:t>
      </w:r>
      <w:r>
        <w:t xml:space="preserve"> </w:t>
      </w:r>
      <w:r>
        <w:t xml:space="preserve">and</w:t>
      </w:r>
      <w:r>
        <w:t xml:space="preserve"> </w:t>
      </w:r>
      <w:r>
        <w:t xml:space="preserve">Resident</w:t>
      </w:r>
      <w:r>
        <w:t xml:space="preserve"> </w:t>
      </w:r>
      <w:r>
        <w:t xml:space="preserve">Learning</w:t>
      </w:r>
    </w:p>
    <w:p>
      <w:pPr>
        <w:pStyle w:val="Author"/>
      </w:pPr>
      <w:r>
        <w:t xml:space="preserve">Anish</w:t>
      </w:r>
      <w:r>
        <w:t xml:space="preserve"> </w:t>
      </w:r>
      <w:r>
        <w:t xml:space="preserve">Shah,</w:t>
      </w:r>
      <w:r>
        <w:t xml:space="preserve"> </w:t>
      </w:r>
      <w:r>
        <w:t xml:space="preserve">MD</w:t>
      </w:r>
      <w:r>
        <w:rPr>
          <w:rStyle w:val="FootnoteReference"/>
        </w:rPr>
        <w:footnoteReference w:id="20"/>
      </w:r>
    </w:p>
    <w:p>
      <w:pPr>
        <w:pStyle w:val="Author"/>
      </w:pPr>
      <w:r>
        <w:t xml:space="preserve">Mikhail</w:t>
      </w:r>
      <w:r>
        <w:t xml:space="preserve"> </w:t>
      </w:r>
      <w:r>
        <w:t xml:space="preserve">Akbashev,</w:t>
      </w:r>
      <w:r>
        <w:t xml:space="preserve"> </w:t>
      </w:r>
      <w:r>
        <w:t xml:space="preserve">MD</w:t>
      </w:r>
      <w:r>
        <w:rPr>
          <w:rStyle w:val="FootnoteReference"/>
        </w:rPr>
        <w:footnoteReference w:id="21"/>
      </w:r>
    </w:p>
    <w:p>
      <w:pPr>
        <w:pStyle w:val="Date"/>
      </w:pPr>
      <w:r>
        <w:t xml:space="preserve">September</w:t>
      </w:r>
      <w:r>
        <w:t xml:space="preserve"> </w:t>
      </w:r>
      <w:r>
        <w:t xml:space="preserve">08,</w:t>
      </w:r>
      <w:r>
        <w:t xml:space="preserve"> </w:t>
      </w:r>
      <w:r>
        <w:t xml:space="preserve">2019</w:t>
      </w:r>
    </w:p>
    <w:p>
      <w:pPr>
        <w:pStyle w:val="Heading1"/>
      </w:pPr>
      <w:bookmarkStart w:id="22" w:name="methods"/>
      <w:r>
        <w:t xml:space="preserve">Methods</w:t>
      </w:r>
      <w:bookmarkEnd w:id="22"/>
    </w:p>
    <w:p>
      <w:pPr>
        <w:pStyle w:val="FirstParagraph"/>
      </w:pPr>
      <w:r>
        <w:t xml:space="preserve">The cohorts were divided by class years, from recent graduates of the program to current PGY3, PGY2, and PGY1. The data was acquired from 06/2018 to 08/2019. The population sampled was 225 residents (including recent grads).</w:t>
      </w:r>
    </w:p>
    <w:p>
      <w:pPr>
        <w:pStyle w:val="BodyText"/>
      </w:pPr>
      <w:r>
        <w:t xml:space="preserve">The response rates per group is shown. The surveys were sent from June 2018 to August 2018.</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Cohort</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Response (%)</w:t>
            </w:r>
          </w:p>
        </w:tc>
      </w:tr>
      <w:tr>
        <w:tc>
          <w:p>
            <w:pPr>
              <w:pStyle w:val="Compact"/>
              <w:jc w:val="left"/>
            </w:pPr>
            <w:r>
              <w:t xml:space="preserve">GRAD</w:t>
            </w:r>
          </w:p>
        </w:tc>
        <w:tc>
          <w:p>
            <w:pPr>
              <w:pStyle w:val="Compact"/>
              <w:jc w:val="left"/>
            </w:pPr>
            <w:r>
              <w:t xml:space="preserve">56</w:t>
            </w:r>
          </w:p>
        </w:tc>
        <w:tc>
          <w:p>
            <w:pPr>
              <w:pStyle w:val="Compact"/>
              <w:jc w:val="left"/>
            </w:pPr>
            <w:r>
              <w:t xml:space="preserve">67.857</w:t>
            </w:r>
          </w:p>
        </w:tc>
      </w:tr>
      <w:tr>
        <w:tc>
          <w:p>
            <w:pPr>
              <w:pStyle w:val="Compact"/>
              <w:jc w:val="left"/>
            </w:pPr>
            <w:r>
              <w:t xml:space="preserve">PGY3</w:t>
            </w:r>
          </w:p>
        </w:tc>
        <w:tc>
          <w:p>
            <w:pPr>
              <w:pStyle w:val="Compact"/>
              <w:jc w:val="left"/>
            </w:pPr>
            <w:r>
              <w:t xml:space="preserve">57</w:t>
            </w:r>
          </w:p>
        </w:tc>
        <w:tc>
          <w:p>
            <w:pPr>
              <w:pStyle w:val="Compact"/>
              <w:jc w:val="left"/>
            </w:pPr>
            <w:r>
              <w:t xml:space="preserve">28.07</w:t>
            </w:r>
          </w:p>
        </w:tc>
      </w:tr>
      <w:tr>
        <w:tc>
          <w:p>
            <w:pPr>
              <w:pStyle w:val="Compact"/>
              <w:jc w:val="left"/>
            </w:pPr>
            <w:r>
              <w:t xml:space="preserve">PGY2</w:t>
            </w:r>
          </w:p>
        </w:tc>
        <w:tc>
          <w:p>
            <w:pPr>
              <w:pStyle w:val="Compact"/>
              <w:jc w:val="left"/>
            </w:pPr>
            <w:r>
              <w:t xml:space="preserve">56</w:t>
            </w:r>
          </w:p>
        </w:tc>
        <w:tc>
          <w:p>
            <w:pPr>
              <w:pStyle w:val="Compact"/>
              <w:jc w:val="left"/>
            </w:pPr>
            <w:r>
              <w:t xml:space="preserve">33.929</w:t>
            </w:r>
          </w:p>
        </w:tc>
      </w:tr>
      <w:tr>
        <w:tc>
          <w:p>
            <w:pPr>
              <w:pStyle w:val="Compact"/>
              <w:jc w:val="left"/>
            </w:pPr>
            <w:r>
              <w:t xml:space="preserve">PGY1</w:t>
            </w:r>
          </w:p>
        </w:tc>
        <w:tc>
          <w:p>
            <w:pPr>
              <w:pStyle w:val="Compact"/>
              <w:jc w:val="left"/>
            </w:pPr>
            <w:r>
              <w:t xml:space="preserve">56</w:t>
            </w:r>
          </w:p>
        </w:tc>
        <w:tc>
          <w:p>
            <w:pPr>
              <w:pStyle w:val="Compact"/>
              <w:jc w:val="left"/>
            </w:pPr>
            <w:r>
              <w:t xml:space="preserve">33.929</w:t>
            </w:r>
          </w:p>
        </w:tc>
      </w:tr>
    </w:tbl>
    <w:p>
      <w:pPr>
        <w:pStyle w:val="Heading2"/>
      </w:pPr>
      <w:bookmarkStart w:id="23" w:name="quiz-breakdown"/>
      <w:r>
        <w:t xml:space="preserve">Quiz breakdown</w:t>
      </w:r>
      <w:bookmarkEnd w:id="23"/>
    </w:p>
    <w:p>
      <w:pPr>
        <w:pStyle w:val="FirstParagraph"/>
      </w:pPr>
      <w:r>
        <w:t xml:space="preserve">The quiz was broken down into several sections. There were 5 targeted areas for the survey.</w:t>
      </w:r>
    </w:p>
    <w:p>
      <w:pPr>
        <w:pStyle w:val="Compact"/>
        <w:numPr>
          <w:numId w:val="1001"/>
          <w:ilvl w:val="0"/>
        </w:numPr>
      </w:pPr>
      <w:r>
        <w:t xml:space="preserve">Cardiovascular view identification</w:t>
      </w:r>
    </w:p>
    <w:p>
      <w:pPr>
        <w:pStyle w:val="Compact"/>
        <w:numPr>
          <w:numId w:val="1001"/>
          <w:ilvl w:val="0"/>
        </w:numPr>
      </w:pPr>
      <w:r>
        <w:t xml:space="preserve">Cardiovascular structure identification</w:t>
      </w:r>
    </w:p>
    <w:p>
      <w:pPr>
        <w:pStyle w:val="Compact"/>
        <w:numPr>
          <w:numId w:val="1001"/>
          <w:ilvl w:val="0"/>
        </w:numPr>
      </w:pPr>
      <w:r>
        <w:t xml:space="preserve">Cardiovascular function assessment (e.g. ejection fraction)</w:t>
      </w:r>
    </w:p>
    <w:p>
      <w:pPr>
        <w:pStyle w:val="Compact"/>
        <w:numPr>
          <w:numId w:val="1001"/>
          <w:ilvl w:val="0"/>
        </w:numPr>
      </w:pPr>
      <w:r>
        <w:t xml:space="preserve">Vascular structure identification (e.g. IVC, aorta)</w:t>
      </w:r>
    </w:p>
    <w:p>
      <w:pPr>
        <w:pStyle w:val="Compact"/>
        <w:numPr>
          <w:numId w:val="1001"/>
          <w:ilvl w:val="0"/>
        </w:numPr>
      </w:pPr>
      <w:r>
        <w:t xml:space="preserve">Vascular function assessment (e.g. collapsibility of IVC)</w:t>
      </w:r>
    </w:p>
    <w:p>
      <w:pPr>
        <w:pStyle w:val="FirstParagraph"/>
      </w:pPr>
      <w:r>
        <w:t xml:space="preserve">The responses are in the form of a percent by each cohort, so within cohort comparisons can be assessed.</w:t>
      </w:r>
    </w:p>
    <w:p>
      <w:pPr>
        <w:pStyle w:val="Heading2"/>
      </w:pPr>
      <w:bookmarkStart w:id="24" w:name="overconfidence"/>
      <w:r>
        <w:t xml:space="preserve">Overconfidence</w:t>
      </w:r>
      <w:bookmarkEnd w:id="24"/>
    </w:p>
    <w:p>
      <w:pPr>
        <w:pStyle w:val="FirstParagraph"/>
      </w:pPr>
      <w:r>
        <w:t xml:space="preserve">Residents also labeled their confidence in their answer choices. Four categories were devised representing POCUS knowledge and confidence in decision-making.</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Confident</w:t>
            </w:r>
          </w:p>
        </w:tc>
        <w:tc>
          <w:tcPr>
            <w:tcBorders>
              <w:bottom w:val="single"/>
            </w:tcBorders>
            <w:vAlign w:val="bottom"/>
          </w:tcPr>
          <w:p>
            <w:pPr>
              <w:pStyle w:val="Compact"/>
              <w:jc w:val="left"/>
            </w:pPr>
            <w:r>
              <w:t xml:space="preserve">Not Confident</w:t>
            </w:r>
          </w:p>
        </w:tc>
      </w:tr>
      <w:tr>
        <w:tc>
          <w:p>
            <w:pPr>
              <w:pStyle w:val="Compact"/>
              <w:jc w:val="left"/>
            </w:pPr>
            <w:r>
              <w:t xml:space="preserve">Correct</w:t>
            </w:r>
          </w:p>
        </w:tc>
        <w:tc>
          <w:p>
            <w:pPr>
              <w:pStyle w:val="Compact"/>
              <w:jc w:val="left"/>
            </w:pPr>
            <w:r>
              <w:t xml:space="preserve">Understanding</w:t>
            </w:r>
          </w:p>
        </w:tc>
        <w:tc>
          <w:p>
            <w:pPr>
              <w:pStyle w:val="Compact"/>
              <w:jc w:val="left"/>
            </w:pPr>
            <w:r>
              <w:t xml:space="preserve">Underconfident</w:t>
            </w:r>
          </w:p>
        </w:tc>
      </w:tr>
      <w:tr>
        <w:tc>
          <w:p>
            <w:pPr>
              <w:pStyle w:val="Compact"/>
              <w:jc w:val="left"/>
            </w:pPr>
            <w:r>
              <w:t xml:space="preserve">Incorrect</w:t>
            </w:r>
          </w:p>
        </w:tc>
        <w:tc>
          <w:p>
            <w:pPr>
              <w:pStyle w:val="Compact"/>
              <w:jc w:val="left"/>
            </w:pPr>
            <w:r>
              <w:t xml:space="preserve">Overconfident</w:t>
            </w:r>
          </w:p>
        </w:tc>
        <w:tc>
          <w:p>
            <w:pPr>
              <w:pStyle w:val="Compact"/>
              <w:jc w:val="left"/>
            </w:pPr>
            <w:r>
              <w:t xml:space="preserve">Knowledge Gap</w:t>
            </w:r>
          </w:p>
        </w:tc>
      </w:tr>
    </w:tbl>
    <w:p>
      <w:pPr>
        <w:pStyle w:val="Heading1"/>
      </w:pPr>
      <w:bookmarkStart w:id="25" w:name="results"/>
      <w:r>
        <w:t xml:space="preserve">Results</w:t>
      </w:r>
      <w:bookmarkEnd w:id="25"/>
    </w:p>
    <w:p>
      <w:pPr>
        <w:pStyle w:val="Heading2"/>
      </w:pPr>
      <w:bookmarkStart w:id="26" w:name="baseline-characteristics"/>
      <w:r>
        <w:t xml:space="preserve">Baseline characteristics</w:t>
      </w:r>
      <w:bookmarkEnd w:id="26"/>
    </w:p>
    <w:p>
      <w:pPr>
        <w:pStyle w:val="FirstParagraph"/>
      </w:pPr>
      <w:r>
        <w:t xml:space="preserve">There were a total of 89 participants in the study, including PGY1 (n=19), PGY2 (n=19), PGY3 (n=16), and recent graduates (n=38). There was &gt;80% self-reported interest in POCUS, with over &gt;60% expressing interest in a procedural career, and &lt;30% having prior experience in POCUS. Further breakdown by cohort is seen in</w:t>
      </w:r>
      <w:r>
        <w:t xml:space="preserve"> </w:t>
      </w:r>
      <w:r>
        <w:rPr>
          <w:b/>
        </w:rPr>
        <w:t xml:space="preserve">Table 1</w:t>
      </w:r>
      <w:r>
        <w:t xml:space="preserve">.</w:t>
      </w:r>
    </w:p>
    <w:p>
      <w:pPr>
        <w:pStyle w:val="Heading2"/>
      </w:pPr>
      <w:bookmarkStart w:id="27" w:name="point-of-care-ultrasonography-knowledge"/>
      <w:r>
        <w:t xml:space="preserve">Point-of-care ultrasonography knowledge</w:t>
      </w:r>
      <w:bookmarkEnd w:id="27"/>
    </w:p>
    <w:p>
      <w:pPr>
        <w:pStyle w:val="FirstParagraph"/>
      </w:pPr>
      <w:r>
        <w:t xml:space="preserve">The mean percent score (SD) on the questionnaire was 65.206 (12.429). By cohort, the PGY1 class scored 56.1 (11.8), the PGY2 class scored 62.4 (11.5), the PGY3 class scored 73.0 (10.6), and the recent graduates scored 67.8 (11.1). The questions were further broken down by type, as seen in</w:t>
      </w:r>
      <w:r>
        <w:t xml:space="preserve"> </w:t>
      </w:r>
      <w:r>
        <w:rPr>
          <w:b/>
        </w:rPr>
        <w:t xml:space="preserve">Figure XXX</w:t>
      </w:r>
      <w:r>
        <w:t xml:space="preserve">_.</w:t>
      </w:r>
    </w:p>
    <w:p>
      <w:pPr>
        <w:pStyle w:val="BodyText"/>
      </w:pPr>
      <w:r>
        <w:t xml:space="preserve">There was a difference in scores after completion of the curriculum (p = 0.002), as seen in</w:t>
      </w:r>
      <w:r>
        <w:t xml:space="preserve"> </w:t>
      </w:r>
      <w:r>
        <w:rPr>
          <w:b/>
        </w:rPr>
        <w:t xml:space="preserve">Figure XXX</w:t>
      </w:r>
      <w:r>
        <w:t xml:space="preserve">.</w:t>
      </w:r>
    </w:p>
    <w:p>
      <w:pPr>
        <w:pStyle w:val="Heading2"/>
      </w:pPr>
      <w:bookmarkStart w:id="28" w:name="confidence-levels"/>
      <w:r>
        <w:t xml:space="preserve">Confidence levels</w:t>
      </w:r>
      <w:bookmarkEnd w:id="28"/>
    </w:p>
    <w:p>
      <w:pPr>
        <w:pStyle w:val="FirstParagraph"/>
      </w:pPr>
      <w:r>
        <w:t xml:space="preserve">Overall, participants reported being confident on 0.701% (0.458) questions. When compared with their individual answer choices, 15.157% demonstrated a</w:t>
      </w:r>
      <w:r>
        <w:t xml:space="preserve"> </w:t>
      </w:r>
      <w:r>
        <w:rPr>
          <w:i/>
        </w:rPr>
        <w:t xml:space="preserve">Knowledge Gap</w:t>
      </w:r>
      <w:r>
        <w:t xml:space="preserve">, 16.239% demonstrated</w:t>
      </w:r>
      <w:r>
        <w:t xml:space="preserve"> </w:t>
      </w:r>
      <w:r>
        <w:rPr>
          <w:i/>
        </w:rPr>
        <w:t xml:space="preserve">Overconfidence</w:t>
      </w:r>
      <w:r>
        <w:t xml:space="preserve">, 14.758% demonstrated</w:t>
      </w:r>
      <w:r>
        <w:t xml:space="preserve"> </w:t>
      </w:r>
      <w:r>
        <w:rPr>
          <w:i/>
        </w:rPr>
        <w:t xml:space="preserve">Underconfidence</w:t>
      </w:r>
      <w:r>
        <w:t xml:space="preserve">, and 53.846% demonstrated</w:t>
      </w:r>
      <w:r>
        <w:t xml:space="preserve"> </w:t>
      </w:r>
      <w:r>
        <w:rPr>
          <w:i/>
        </w:rPr>
        <w:t xml:space="preserve">Understanding</w:t>
      </w:r>
      <w:r>
        <w:t xml:space="preserve">. This is further delineated in</w:t>
      </w:r>
      <w:r>
        <w:t xml:space="preserve"> </w:t>
      </w:r>
      <w:r>
        <w:rPr>
          <w:b/>
        </w:rPr>
        <w:t xml:space="preserve">Table 2</w:t>
      </w:r>
      <w:r>
        <w:t xml:space="preserve">, including by presence of the curriculum. Of note, although there was an increase in</w:t>
      </w:r>
      <w:r>
        <w:t xml:space="preserve"> </w:t>
      </w:r>
      <w:r>
        <w:rPr>
          <w:i/>
        </w:rPr>
        <w:t xml:space="preserve">Understanding</w:t>
      </w:r>
      <w:r>
        <w:t xml:space="preserve"> </w:t>
      </w:r>
      <w:r>
        <w:t xml:space="preserve">from 32.725% to 67.275 after the curriculum, there was also an increase in</w:t>
      </w:r>
      <w:r>
        <w:t xml:space="preserve"> </w:t>
      </w:r>
      <w:r>
        <w:rPr>
          <w:i/>
        </w:rPr>
        <w:t xml:space="preserve">Overconfidence</w:t>
      </w:r>
      <w:r>
        <w:t xml:space="preserve"> </w:t>
      </w:r>
      <w:r>
        <w:t xml:space="preserve">from 39.313% to 60.687%. The distrubtion of confidence by question type is seen in</w:t>
      </w:r>
      <w:r>
        <w:t xml:space="preserve"> </w:t>
      </w:r>
      <w:r>
        <w:rPr>
          <w:b/>
        </w:rPr>
        <w:t xml:space="preserve">Figure XXX</w:t>
      </w:r>
      <w:r>
        <w:t xml:space="preserve">.</w:t>
      </w:r>
    </w:p>
    <w:p>
      <w:pPr>
        <w:pStyle w:val="Heading2"/>
      </w:pPr>
      <w:bookmarkStart w:id="29" w:name="regression-analysis"/>
      <w:r>
        <w:t xml:space="preserve">Regression Analysis</w:t>
      </w:r>
      <w:bookmarkEnd w:id="29"/>
    </w:p>
    <w:p>
      <w:pPr>
        <w:pStyle w:val="FirstParagraph"/>
      </w:pPr>
      <w:r>
        <w:t xml:space="preserve">Curriculum was found to be significant in affecting congruence between confidence and competence (p = 0). Completion of curriculum had an OR = 2.416 (95% confidence interval (CI) = 1.738, 3.359) of demonstrating</w:t>
      </w:r>
      <w:r>
        <w:t xml:space="preserve"> </w:t>
      </w:r>
      <w:r>
        <w:rPr>
          <w:i/>
        </w:rPr>
        <w:t xml:space="preserve">Understanding</w:t>
      </w:r>
      <w:r>
        <w:t xml:space="preserve"> </w:t>
      </w:r>
      <w:r>
        <w:t xml:space="preserve">over other categories (e.g.</w:t>
      </w:r>
      <w:r>
        <w:t xml:space="preserve"> </w:t>
      </w:r>
      <w:r>
        <w:rPr>
          <w:i/>
        </w:rPr>
        <w:t xml:space="preserve">Overconfidence</w:t>
      </w:r>
      <w:r>
        <w:t xml:space="preserve">). In an additional model adjusted for cohort, there was a significant negative interaction between curriculum and cohort year (p = 0.018).</w:t>
      </w:r>
    </w:p>
    <w:p>
      <w:pPr>
        <w:pStyle w:val="Heading1"/>
      </w:pPr>
      <w:bookmarkStart w:id="30" w:name="tables"/>
      <w:r>
        <w:t xml:space="preserve">Tables</w:t>
      </w:r>
      <w:bookmarkEnd w:id="30"/>
    </w:p>
    <w:p>
      <w:pPr>
        <w:pStyle w:val="Heading2"/>
      </w:pPr>
      <w:bookmarkStart w:id="31" w:name="table-1"/>
      <w:r>
        <w:t xml:space="preserve">Table 1</w:t>
      </w:r>
      <w:bookmarkEnd w:id="31"/>
    </w:p>
    <w:p>
      <w:pPr>
        <w:pStyle w:val="Heading2"/>
      </w:pPr>
      <w:bookmarkStart w:id="32" w:name="table-2"/>
      <w:r>
        <w:t xml:space="preserve">Table 2</w:t>
      </w:r>
      <w:bookmarkEnd w:id="32"/>
    </w:p>
    <w:p>
      <w:pPr>
        <w:pStyle w:val="Heading1"/>
      </w:pPr>
      <w:bookmarkStart w:id="33" w:name="figures"/>
      <w:r>
        <w:t xml:space="preserve">Figures</w:t>
      </w:r>
      <w:bookmarkEnd w:id="33"/>
    </w:p>
    <w:p>
      <w:pPr>
        <w:pStyle w:val="Heading2"/>
      </w:pPr>
      <w:bookmarkStart w:id="34" w:name="figure-xxx"/>
      <w:r>
        <w:t xml:space="preserve">Figure XXX</w:t>
      </w:r>
      <w:bookmarkEnd w:id="34"/>
    </w:p>
    <w:p>
      <w:pPr>
        <w:pStyle w:val="Heading2"/>
      </w:pPr>
      <w:bookmarkStart w:id="35" w:name="figure-xxx-1"/>
      <w:r>
        <w:t xml:space="preserve">Figure XXX</w:t>
      </w:r>
      <w:bookmarkEnd w:id="35"/>
    </w:p>
    <w:p>
      <w:pPr>
        <w:pStyle w:val="Heading2"/>
      </w:pPr>
      <w:bookmarkStart w:id="36" w:name="figure-xxx-2"/>
      <w:r>
        <w:t xml:space="preserve">Figure XXX</w:t>
      </w:r>
      <w:bookmarkEnd w:id="36"/>
    </w:p>
    <w:p>
      <w:pPr>
        <w:pStyle w:val="Heading2"/>
      </w:pPr>
      <w:bookmarkStart w:id="37" w:name="figure-xxx-3"/>
      <w:r>
        <w:t xml:space="preserve">Figure XXX</w:t>
      </w:r>
      <w:bookmarkEnd w:id="37"/>
    </w:p>
    <w:sectPr w:rsidR="00FA2097" w:rsidRPr="00561644" w:rsidSect="00986A14">
      <w:pgSz w:w="12240" w:h="15840"/>
      <w:pgMar w:top="720" w:right="720" w:bottom="806"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Medicine,</w:t>
      </w:r>
      <w:r>
        <w:t xml:space="preserve"> </w:t>
      </w:r>
      <w:r>
        <w:t xml:space="preserve">School</w:t>
      </w:r>
      <w:r>
        <w:t xml:space="preserve"> </w:t>
      </w:r>
      <w:r>
        <w:t xml:space="preserve">of</w:t>
      </w:r>
      <w:r>
        <w:t xml:space="preserve"> </w:t>
      </w:r>
      <w:r>
        <w:t xml:space="preserve">Medicine,</w:t>
      </w:r>
      <w:r>
        <w:t xml:space="preserve"> </w:t>
      </w:r>
      <w:r>
        <w:t xml:space="preserve">Emory</w:t>
      </w:r>
      <w:r>
        <w:t xml:space="preserve"> </w:t>
      </w:r>
      <w:r>
        <w:t xml:space="preserve">University,</w:t>
      </w:r>
      <w:r>
        <w:t xml:space="preserve"> </w:t>
      </w:r>
      <w:r>
        <w:t xml:space="preserve">Atlanta,</w:t>
      </w:r>
      <w:r>
        <w:t xml:space="preserve"> </w:t>
      </w:r>
      <w:r>
        <w:t xml:space="preserve">Georgia</w:t>
      </w:r>
    </w:p>
  </w:footnote>
  <w:footnote w:id="21">
    <w:p>
      <w:pPr>
        <w:pStyle w:val="FootnoteText"/>
      </w:pPr>
      <w:r>
        <w:rPr>
          <w:rStyle w:val="FootnoteReference"/>
        </w:rPr>
        <w:footnoteRef/>
      </w:r>
      <w:r>
        <w:t xml:space="preserve"> </w:t>
      </w:r>
      <w:r>
        <w:t xml:space="preserve">Department</w:t>
      </w:r>
      <w:r>
        <w:t xml:space="preserve"> </w:t>
      </w:r>
      <w:r>
        <w:t xml:space="preserve">of</w:t>
      </w:r>
      <w:r>
        <w:t xml:space="preserve"> </w:t>
      </w:r>
      <w:r>
        <w:t xml:space="preserve">Medicine,</w:t>
      </w:r>
      <w:r>
        <w:t xml:space="preserve"> </w:t>
      </w:r>
      <w:r>
        <w:t xml:space="preserve">School</w:t>
      </w:r>
      <w:r>
        <w:t xml:space="preserve"> </w:t>
      </w:r>
      <w:r>
        <w:t xml:space="preserve">of</w:t>
      </w:r>
      <w:r>
        <w:t xml:space="preserve"> </w:t>
      </w:r>
      <w:r>
        <w:t xml:space="preserve">Medicine,</w:t>
      </w:r>
      <w:r>
        <w:t xml:space="preserve"> </w:t>
      </w:r>
      <w:r>
        <w:t xml:space="preserve">Emory</w:t>
      </w:r>
      <w:r>
        <w:t xml:space="preserve"> </w:t>
      </w:r>
      <w:r>
        <w:t xml:space="preserve">University,</w:t>
      </w:r>
      <w:r>
        <w:t xml:space="preserve"> </w:t>
      </w:r>
      <w:r>
        <w:t xml:space="preserve">Atlanta,</w:t>
      </w:r>
      <w:r>
        <w:t xml:space="preserve"> </w:t>
      </w:r>
      <w:r>
        <w:t xml:space="preserve">Georgia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A62CC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11E0332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B58537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340508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52078B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C26FBE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F82164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EB4B72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308BE2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CCC1F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AE8EE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04BE103"/>
    <w:multiLevelType w:val="multilevel"/>
    <w:tmpl w:val="D37025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1644"/>
    <w:pPr>
      <w:spacing w:after="0"/>
    </w:pPr>
    <w:rPr>
      <w:rFonts w:ascii="Arial" w:hAnsi="Arial" w:cs="Arial"/>
      <w:sz w:val="22"/>
      <w:szCs w:val="22"/>
    </w:rPr>
  </w:style>
  <w:style w:type="paragraph" w:styleId="Heading1">
    <w:name w:val="heading 1"/>
    <w:basedOn w:val="NoSpacing"/>
    <w:next w:val="BodyText"/>
    <w:uiPriority w:val="9"/>
    <w:qFormat/>
    <w:rsid w:val="00942CB5"/>
    <w:pPr>
      <w:pageBreakBefore/>
      <w:outlineLvl w:val="0"/>
    </w:pPr>
    <w:rPr>
      <w:rFonts w:ascii="Arial" w:hAnsi="Arial" w:cs="Arial"/>
      <w:sz w:val="36"/>
      <w:szCs w:val="32"/>
    </w:rPr>
  </w:style>
  <w:style w:type="paragraph" w:styleId="Heading2">
    <w:name w:val="heading 2"/>
    <w:basedOn w:val="NoSpacing"/>
    <w:next w:val="BodyText"/>
    <w:uiPriority w:val="9"/>
    <w:unhideWhenUsed/>
    <w:qFormat/>
    <w:rsid w:val="00561644"/>
    <w:pPr>
      <w:outlineLvl w:val="1"/>
    </w:pPr>
    <w:rPr>
      <w:rFonts w:ascii="Arial" w:hAnsi="Arial" w:cs="Arial"/>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Spacing"/>
    <w:next w:val="BodyText"/>
    <w:qFormat/>
    <w:rsid w:val="00942CB5"/>
    <w:rPr>
      <w:rFonts w:ascii="Arial" w:hAnsi="Arial" w:cs="Arial"/>
      <w:sz w:val="44"/>
      <w:szCs w:val="36"/>
    </w:rPr>
  </w:style>
  <w:style w:type="paragraph" w:styleId="Subtitle">
    <w:name w:val="Subtitle"/>
    <w:basedOn w:val="Author"/>
    <w:next w:val="BodyText"/>
    <w:qFormat/>
    <w:rsid w:val="00041879"/>
    <w:rPr>
      <w:sz w:val="32"/>
    </w:rPr>
  </w:style>
  <w:style w:type="paragraph" w:customStyle="1" w:styleId="Author">
    <w:name w:val="Author"/>
    <w:basedOn w:val="NoSpacing"/>
    <w:next w:val="BodyText"/>
    <w:qFormat/>
    <w:rsid w:val="00561644"/>
    <w:rPr>
      <w:rFonts w:ascii="Arial" w:hAnsi="Arial" w:cs="Arial"/>
      <w:szCs w:val="22"/>
    </w:rPr>
  </w:style>
  <w:style w:type="paragraph" w:styleId="Date">
    <w:name w:val="Date"/>
    <w:basedOn w:val="Author"/>
    <w:next w:val="BodyText"/>
    <w:qFormat/>
    <w:rsid w:val="00901961"/>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BB68E5"/>
  </w:style>
  <w:style w:type="paragraph" w:styleId="NoSpacing">
    <w:name w:val="No Spacing"/>
    <w:rsid w:val="00561644"/>
    <w:pPr>
      <w:spacing w:after="0"/>
    </w:pPr>
  </w:style>
  <w:style w:type="paragraph" w:styleId="Header">
    <w:name w:val="header"/>
    <w:basedOn w:val="Normal"/>
    <w:link w:val="HeaderChar"/>
    <w:unhideWhenUsed/>
    <w:rsid w:val="00561644"/>
    <w:pPr>
      <w:tabs>
        <w:tab w:val="center" w:pos="4680"/>
        <w:tab w:val="right" w:pos="9360"/>
      </w:tabs>
    </w:pPr>
  </w:style>
  <w:style w:type="character" w:customStyle="1" w:styleId="HeaderChar">
    <w:name w:val="Header Char"/>
    <w:basedOn w:val="DefaultParagraphFont"/>
    <w:link w:val="Header"/>
    <w:rsid w:val="00561644"/>
  </w:style>
  <w:style w:type="paragraph" w:styleId="Footer">
    <w:name w:val="footer"/>
    <w:basedOn w:val="Normal"/>
    <w:link w:val="FooterChar"/>
    <w:unhideWhenUsed/>
    <w:rsid w:val="00561644"/>
    <w:pPr>
      <w:tabs>
        <w:tab w:val="center" w:pos="4680"/>
        <w:tab w:val="right" w:pos="9360"/>
      </w:tabs>
    </w:pPr>
  </w:style>
  <w:style w:type="character" w:customStyle="1" w:styleId="FooterChar">
    <w:name w:val="Footer Char"/>
    <w:basedOn w:val="DefaultParagraphFont"/>
    <w:link w:val="Footer"/>
    <w:rsid w:val="00561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17</Words>
  <Characters>97</Characters>
  <Application>Microsoft Office Word</Application>
  <DocSecurity>0</DocSecurity>
  <Lines>1</Lines>
  <Paragraphs>1</Paragraphs>
  <ScaleCrop>false</ScaleCrop>
  <Company/>
  <LinksUpToDate>false</LinksUpToDate>
  <CharactersWithSpaces>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Cardiovascular Point-of-Care Ultrasonography and Resident Learning</dc:title>
  <dc:creator>Anish Shah, MD; Mikhail Akbashev, MD</dc:creator>
  <cp:keywords/>
  <dcterms:created xsi:type="dcterms:W3CDTF">2019-09-09T00:14:50Z</dcterms:created>
  <dcterms:modified xsi:type="dcterms:W3CDTF">2019-09-09T00:14:50Z</dcterms:modified>
</cp:coreProperties>
</file>