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SPRINT 2 - Software Engineering</w:t>
      </w:r>
    </w:p>
    <w:p w:rsidR="00000000" w:rsidDel="00000000" w:rsidP="00000000" w:rsidRDefault="00000000" w:rsidRPr="00000000" w14:paraId="00000002">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0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Assia IBRAH22520673 Jonny EMI22529075 Michael MEY22555175 Piri RAT22528167 </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Georgy SEK22555793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Overview:</w:t>
      </w:r>
    </w:p>
    <w:p w:rsidR="00000000" w:rsidDel="00000000" w:rsidP="00000000" w:rsidRDefault="00000000" w:rsidRPr="00000000" w14:paraId="00000008">
      <w:pPr>
        <w:rPr/>
      </w:pPr>
      <w:r w:rsidDel="00000000" w:rsidR="00000000" w:rsidRPr="00000000">
        <w:rPr>
          <w:rtl w:val="0"/>
        </w:rPr>
        <w:t xml:space="preserve">In the diagram we have 2 interacting users with the system which can perform the following tasks. Regular users are more restricted than administrators due to lack of authority as administrator can also add and edit data into the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624388" cy="54308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4388" cy="543086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