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i w:val="0"/>
          <w:sz w:val="28"/>
        </w:rPr>
        <w:t>CHAPTER 3</w:t>
      </w:r>
    </w:p>
    <w:p>
      <w:pPr>
        <w:jc w:val="center"/>
      </w:pPr>
      <w:r>
        <w:rPr>
          <w:rFonts w:ascii="Times New Roman" w:hAnsi="Times New Roman" w:cs="Times New Roman" w:eastAsia="Times New Roman"/>
          <w:b/>
          <w:i w:val="0"/>
          <w:sz w:val="28"/>
        </w:rPr>
        <w:t>RESEARCH METHODOLOGY</w:t>
      </w:r>
    </w:p>
    <w:p/>
    <w:p>
      <w:pPr>
        <w:keepNext/>
        <w:spacing w:before="280" w:after="160"/>
      </w:pPr>
      <w:r>
        <w:rPr>
          <w:rFonts w:ascii="Times New Roman" w:hAnsi="Times New Roman" w:cs="Times New Roman" w:eastAsia="Times New Roman"/>
          <w:b/>
          <w:i w:val="0"/>
          <w:sz w:val="28"/>
        </w:rPr>
        <w:t>3.1  Introduction</w:t>
      </w:r>
    </w:p>
    <w:p>
      <w:pPr>
        <w:spacing w:after="120" w:line="360" w:lineRule="auto"/>
        <w:ind w:firstLine="283"/>
        <w:jc w:val="both"/>
      </w:pPr>
      <w:r>
        <w:rPr>
          <w:rFonts w:ascii="Times New Roman" w:hAnsi="Times New Roman" w:cs="Times New Roman" w:eastAsia="Times New Roman"/>
          <w:b w:val="0"/>
          <w:i w:val="0"/>
          <w:sz w:val="24"/>
        </w:rPr>
        <w:t>This chapter sets out the methodology I followed to study the factors shaping the distribution channel of Malta (Citrus sinensis) in the Garhwal region of Uttarakhand. The work is descriptive as well as analytical: descriptive in the sense that it captures how the channel currently operates from the orchard through to the retail counter, and analytical in that it applies two Multi-Criteria Decision-Making (MCDM) tools — Fuzzy AHP and ELECTRE — to identify which factors weigh most heavily on channel performance and to rank the alternatives that the industry actually has in front of it.</w:t>
      </w:r>
    </w:p>
    <w:p>
      <w:pPr>
        <w:spacing w:after="120" w:line="360" w:lineRule="auto"/>
        <w:ind w:firstLine="283"/>
        <w:jc w:val="both"/>
      </w:pPr>
      <w:r>
        <w:rPr>
          <w:rFonts w:ascii="Times New Roman" w:hAnsi="Times New Roman" w:cs="Times New Roman" w:eastAsia="Times New Roman"/>
          <w:b w:val="0"/>
          <w:i w:val="0"/>
          <w:sz w:val="24"/>
        </w:rPr>
        <w:t>What follows describes the research design, the way the sample was drawn and why it was sized at 1,300 respondents, the instrument and the screening procedure used to take a 144-factor pool down to 82 validated items, and finally the two analytical tools and the way they fit together. A schematic of the entire research process is presented at the end of this chapter so the reader can see the whole study at a glance.</w:t>
      </w:r>
    </w:p>
    <w:p>
      <w:pPr>
        <w:keepNext/>
        <w:spacing w:before="280" w:after="160"/>
      </w:pPr>
      <w:r>
        <w:rPr>
          <w:rFonts w:ascii="Times New Roman" w:hAnsi="Times New Roman" w:cs="Times New Roman" w:eastAsia="Times New Roman"/>
          <w:b/>
          <w:i w:val="0"/>
          <w:sz w:val="28"/>
        </w:rPr>
        <w:t>3.2  Research Design</w:t>
      </w:r>
    </w:p>
    <w:p>
      <w:pPr>
        <w:spacing w:after="120" w:line="360" w:lineRule="auto"/>
        <w:ind w:firstLine="283"/>
        <w:jc w:val="both"/>
      </w:pPr>
      <w:r>
        <w:rPr>
          <w:rFonts w:ascii="Times New Roman" w:hAnsi="Times New Roman" w:cs="Times New Roman" w:eastAsia="Times New Roman"/>
          <w:b w:val="0"/>
          <w:i w:val="0"/>
          <w:sz w:val="24"/>
        </w:rPr>
        <w:t>The study uses a cross-sectional research design. By cross-sectional I mean that data were collected from each respondent at a single point in time within the marketing season, rather than tracking the same respondents repeatedly across years. This choice fits the problem well. Malta has a short season — broadly October to February — so a snapshot taken across one harvest cycle gives a coherent picture of channel behaviour without the confounds that creep in when one tries to compare seasons of different rainfall, different prices and different policy regimes. It is also the design most often used in the supply-chain MCDM literature when the goal is to weight criteria and rank alternatives, rather than to test causality (Bryman and Bell, 2015; Saunders et al., 2019).</w:t>
      </w:r>
    </w:p>
    <w:p>
      <w:pPr>
        <w:keepNext/>
        <w:spacing w:before="160" w:after="80"/>
      </w:pPr>
      <w:r>
        <w:rPr>
          <w:rFonts w:ascii="Times New Roman" w:hAnsi="Times New Roman" w:cs="Times New Roman" w:eastAsia="Times New Roman"/>
          <w:b/>
          <w:i/>
          <w:sz w:val="24"/>
        </w:rPr>
        <w:t>3.2.1  Nature of the Study and Mixed-Method Approach</w:t>
      </w:r>
    </w:p>
    <w:p>
      <w:pPr>
        <w:spacing w:after="120" w:line="360" w:lineRule="auto"/>
        <w:ind w:firstLine="283"/>
        <w:jc w:val="both"/>
      </w:pPr>
      <w:r>
        <w:rPr>
          <w:rFonts w:ascii="Times New Roman" w:hAnsi="Times New Roman" w:cs="Times New Roman" w:eastAsia="Times New Roman"/>
          <w:b w:val="0"/>
          <w:i w:val="0"/>
          <w:sz w:val="24"/>
        </w:rPr>
        <w:t>Although the analytical engine of the study is quantitative, the broader design is mixed-method. Primary data came from a structured questionnaire administered in the field, supplemented by stakeholder interactions with farmers, traders, commission agents, mandi intermediaries, wholesalers, retailers and transporters. Secondary data were drawn from peer-reviewed journals, reports of the Department of Horticulture (Government of Uttarakhand), the National Horticulture Board, agricultural databases such as APEDA and FAO, earlier theses on hill horticulture and a small set of books on supply-chain management. The two streams played complementary roles: the secondary literature gave the conceptual scaffolding and the initial factor list; the primary data gave the weights and the outranking that the chapter ultimately delivers.</w:t>
      </w:r>
    </w:p>
    <w:p>
      <w:pPr>
        <w:keepNext/>
        <w:spacing w:before="280" w:after="160"/>
      </w:pPr>
      <w:r>
        <w:rPr>
          <w:rFonts w:ascii="Times New Roman" w:hAnsi="Times New Roman" w:cs="Times New Roman" w:eastAsia="Times New Roman"/>
          <w:b/>
          <w:i w:val="0"/>
          <w:sz w:val="28"/>
        </w:rPr>
        <w:t>3.3  Three Phases of Data Collection</w:t>
      </w:r>
    </w:p>
    <w:p>
      <w:pPr>
        <w:spacing w:after="120" w:line="360" w:lineRule="auto"/>
        <w:ind w:firstLine="283"/>
        <w:jc w:val="both"/>
      </w:pPr>
      <w:r>
        <w:rPr>
          <w:rFonts w:ascii="Times New Roman" w:hAnsi="Times New Roman" w:cs="Times New Roman" w:eastAsia="Times New Roman"/>
          <w:b w:val="0"/>
          <w:i w:val="0"/>
          <w:sz w:val="24"/>
        </w:rPr>
        <w:t>Fieldwork ran from September 2024 to December 2025 and was deliberately split into three phases. Splitting the work this way meant that the instrument used in the main survey had already been refined twice over before the bulk of the responses were collected, which is the kind of discipline most thesis projects skip. The phase structure is summarised in Figure 3.1.</w:t>
      </w:r>
    </w:p>
    <w:p>
      <w:pPr>
        <w:jc w:val="center"/>
      </w:pPr>
      <w:r>
        <w:drawing>
          <wp:inline xmlns:a="http://schemas.openxmlformats.org/drawingml/2006/main" xmlns:pic="http://schemas.openxmlformats.org/drawingml/2006/picture">
            <wp:extent cx="5943600" cy="1677519"/>
            <wp:docPr id="1" name="Picture 1"/>
            <wp:cNvGraphicFramePr>
              <a:graphicFrameLocks noChangeAspect="1"/>
            </wp:cNvGraphicFramePr>
            <a:graphic>
              <a:graphicData uri="http://schemas.openxmlformats.org/drawingml/2006/picture">
                <pic:pic>
                  <pic:nvPicPr>
                    <pic:cNvPr id="0" name="phases_chapter3.png"/>
                    <pic:cNvPicPr/>
                  </pic:nvPicPr>
                  <pic:blipFill>
                    <a:blip r:embed="rId9"/>
                    <a:stretch>
                      <a:fillRect/>
                    </a:stretch>
                  </pic:blipFill>
                  <pic:spPr>
                    <a:xfrm>
                      <a:off x="0" y="0"/>
                      <a:ext cx="5943600" cy="1677519"/>
                    </a:xfrm>
                    <a:prstGeom prst="rect"/>
                  </pic:spPr>
                </pic:pic>
              </a:graphicData>
            </a:graphic>
          </wp:inline>
        </w:drawing>
      </w:r>
    </w:p>
    <w:p>
      <w:pPr>
        <w:spacing w:before="160" w:after="80"/>
        <w:jc w:val="center"/>
      </w:pPr>
      <w:r>
        <w:rPr>
          <w:rFonts w:ascii="Times New Roman" w:hAnsi="Times New Roman" w:cs="Times New Roman" w:eastAsia="Times New Roman"/>
          <w:b/>
          <w:i w:val="0"/>
          <w:sz w:val="22"/>
        </w:rPr>
        <w:t>Figure 3.1: Three-phase Data Collection Timeline (September 2024 - December 2025)</w:t>
      </w:r>
    </w:p>
    <w:p>
      <w:pPr>
        <w:keepNext/>
        <w:spacing w:before="160" w:after="80"/>
      </w:pPr>
      <w:r>
        <w:rPr>
          <w:rFonts w:ascii="Times New Roman" w:hAnsi="Times New Roman" w:cs="Times New Roman" w:eastAsia="Times New Roman"/>
          <w:b/>
          <w:i/>
          <w:sz w:val="24"/>
        </w:rPr>
        <w:t>3.3.1  Phase I - Conceptualisation and Factor Identification (Sep 2024 - Mar 2025)</w:t>
      </w:r>
    </w:p>
    <w:p>
      <w:pPr>
        <w:spacing w:after="120" w:line="360" w:lineRule="auto"/>
        <w:ind w:firstLine="283"/>
        <w:jc w:val="both"/>
      </w:pPr>
      <w:r>
        <w:rPr>
          <w:rFonts w:ascii="Times New Roman" w:hAnsi="Times New Roman" w:cs="Times New Roman" w:eastAsia="Times New Roman"/>
          <w:b w:val="0"/>
          <w:i w:val="0"/>
          <w:sz w:val="24"/>
        </w:rPr>
        <w:t>Phase I went into building the conceptual base of the study. A systematic literature review on horticultural supply chains, hill agriculture and citrus marketing produced a candidate list of factors. This list was then opened up to a panel of subject experts drawn from horticulture extension services, two Krishi Vigyan Kendras, and supply-chain academia. A short pilot was run with 30 respondents across two blocks each in Pauri Garhwal and Rudraprayag, and field observations were noted from three day-trips to the Dehradun and Haridwar wholesale mandis. By the end of Phase I, the factor pool stood at 144.</w:t>
      </w:r>
    </w:p>
    <w:p>
      <w:pPr>
        <w:keepNext/>
        <w:spacing w:before="160" w:after="80"/>
      </w:pPr>
      <w:r>
        <w:rPr>
          <w:rFonts w:ascii="Times New Roman" w:hAnsi="Times New Roman" w:cs="Times New Roman" w:eastAsia="Times New Roman"/>
          <w:b/>
          <w:i/>
          <w:sz w:val="24"/>
        </w:rPr>
        <w:t>3.3.2  Phase II - Reliability and Consistency Screening (Apr 2025 - Aug 2025)</w:t>
      </w:r>
    </w:p>
    <w:p>
      <w:pPr>
        <w:spacing w:after="120" w:line="360" w:lineRule="auto"/>
        <w:ind w:firstLine="283"/>
        <w:jc w:val="both"/>
      </w:pPr>
      <w:r>
        <w:rPr>
          <w:rFonts w:ascii="Times New Roman" w:hAnsi="Times New Roman" w:cs="Times New Roman" w:eastAsia="Times New Roman"/>
          <w:b w:val="0"/>
          <w:i w:val="0"/>
          <w:sz w:val="24"/>
        </w:rPr>
        <w:t>Phase II was about reducing the noise in that 144-factor pool. The process is described in detail in section 3.5; the short version is that overlapping items were merged, items with weak content validity were dropped on expert advice, and a reliability test (Cronbach's α ≥ 0.70) and item-total consistency check were used to eliminate the items that did not hold together as a scale. The number came down from 144 to 82, and the questionnaire used in the main survey was finalised on this trimmed set.</w:t>
      </w:r>
    </w:p>
    <w:p>
      <w:pPr>
        <w:keepNext/>
        <w:spacing w:before="160" w:after="80"/>
      </w:pPr>
      <w:r>
        <w:rPr>
          <w:rFonts w:ascii="Times New Roman" w:hAnsi="Times New Roman" w:cs="Times New Roman" w:eastAsia="Times New Roman"/>
          <w:b/>
          <w:i/>
          <w:sz w:val="24"/>
        </w:rPr>
        <w:t>3.3.3  Phase III - Main Field Survey (Sep 2025 - Dec 2025)</w:t>
      </w:r>
    </w:p>
    <w:p>
      <w:pPr>
        <w:spacing w:after="120" w:line="360" w:lineRule="auto"/>
        <w:ind w:firstLine="283"/>
        <w:jc w:val="both"/>
      </w:pPr>
      <w:r>
        <w:rPr>
          <w:rFonts w:ascii="Times New Roman" w:hAnsi="Times New Roman" w:cs="Times New Roman" w:eastAsia="Times New Roman"/>
          <w:b w:val="0"/>
          <w:i w:val="0"/>
          <w:sz w:val="24"/>
        </w:rPr>
        <w:t>Phase III was the main data-collection drive. Trained enumerators, supervised by the researcher, visited the four Garhwal districts and administered the finalised instrument to 1,485 respondents; 1,300 of those returned valid and complete schedules and form the analytical sample. Wherever possible the schedules were administered face to face in the local language, with the researcher reading each item aloud and recording the response — a practice that yields more reliable results with semi-literate respondents than self-completed schedules (Gangrade, 2006; Shah, 1972).</w:t>
      </w:r>
    </w:p>
    <w:p>
      <w:pPr>
        <w:keepNext/>
        <w:spacing w:before="280" w:after="160"/>
      </w:pPr>
      <w:r>
        <w:rPr>
          <w:rFonts w:ascii="Times New Roman" w:hAnsi="Times New Roman" w:cs="Times New Roman" w:eastAsia="Times New Roman"/>
          <w:b/>
          <w:i w:val="0"/>
          <w:sz w:val="28"/>
        </w:rPr>
        <w:t>3.4  Population and Sampling</w:t>
      </w:r>
    </w:p>
    <w:p>
      <w:pPr>
        <w:spacing w:after="120" w:line="360" w:lineRule="auto"/>
        <w:ind w:firstLine="283"/>
        <w:jc w:val="both"/>
      </w:pPr>
      <w:r>
        <w:rPr>
          <w:rFonts w:ascii="Times New Roman" w:hAnsi="Times New Roman" w:cs="Times New Roman" w:eastAsia="Times New Roman"/>
          <w:b w:val="0"/>
          <w:i w:val="0"/>
          <w:sz w:val="24"/>
        </w:rPr>
        <w:t>The target population is the set of stakeholders who participate in the Malta distribution channel in the Garhwal region of Uttarakhand. Four districts were purposively selected at the geographical layer — Pauri Garhwal, Tehri Garhwal, Rudraprayag and Chamoli — because they between them account for the dominant share of Malta cultivation in the state. Within these districts, seven stakeholder groups were enumerated: Farmers, Village Traders, Commission Agents, Wholesalers, Retailers, Transporters, and Experts / Officials.</w:t>
      </w:r>
    </w:p>
    <w:p>
      <w:pPr>
        <w:keepNext/>
        <w:spacing w:before="160" w:after="80"/>
      </w:pPr>
      <w:r>
        <w:rPr>
          <w:rFonts w:ascii="Times New Roman" w:hAnsi="Times New Roman" w:cs="Times New Roman" w:eastAsia="Times New Roman"/>
          <w:b/>
          <w:i/>
          <w:sz w:val="24"/>
        </w:rPr>
        <w:t>3.4.1  Sampling Technique - Stratified Random Sampling</w:t>
      </w:r>
    </w:p>
    <w:p>
      <w:pPr>
        <w:spacing w:after="120" w:line="360" w:lineRule="auto"/>
        <w:ind w:firstLine="283"/>
        <w:jc w:val="both"/>
      </w:pPr>
      <w:r>
        <w:rPr>
          <w:rFonts w:ascii="Times New Roman" w:hAnsi="Times New Roman" w:cs="Times New Roman" w:eastAsia="Times New Roman"/>
          <w:b w:val="0"/>
          <w:i w:val="0"/>
          <w:sz w:val="24"/>
        </w:rPr>
        <w:t>Once the strata were defined as the seven stakeholder groups crossed with the four districts, stratified random sampling was used to draw respondents within each stratum. Stratification is important here for two reasons. First, the seven groups are very different in size — the farmer base is much larger than, say, the commission-agent base — so a simple random sample would have over-represented farmers and left some downstream groups too small to support the MCDM aggregation. Second, the four districts differ in terrain and in the intensity of Malta trade, and a balanced district representation was essential for the geographical coverage argument that I make in section 3.4.3.</w:t>
      </w:r>
    </w:p>
    <w:p>
      <w:pPr>
        <w:spacing w:after="120" w:line="360" w:lineRule="auto"/>
        <w:ind w:firstLine="283"/>
        <w:jc w:val="both"/>
      </w:pPr>
      <w:r>
        <w:rPr>
          <w:rFonts w:ascii="Times New Roman" w:hAnsi="Times New Roman" w:cs="Times New Roman" w:eastAsia="Times New Roman"/>
          <w:b w:val="0"/>
          <w:i w:val="0"/>
          <w:sz w:val="24"/>
        </w:rPr>
        <w:t>Within each stratum the sampling frame was constructed from Department-of-Horticulture grower lists for farmers, mandi-samiti registers for wholesalers and commission agents, and shop-front enumeration for retailers and village traders. Where complete frames were not available — chiefly for transporters — snowball referral was used to extend the frame, but the actual selection within the extended frame remained random.</w:t>
      </w:r>
    </w:p>
    <w:p>
      <w:pPr>
        <w:keepNext/>
        <w:spacing w:before="160" w:after="80"/>
      </w:pPr>
      <w:r>
        <w:rPr>
          <w:rFonts w:ascii="Times New Roman" w:hAnsi="Times New Roman" w:cs="Times New Roman" w:eastAsia="Times New Roman"/>
          <w:b/>
          <w:i/>
          <w:sz w:val="24"/>
        </w:rPr>
        <w:t>3.4.2  Achieved Sample (n = 1,300)</w:t>
      </w:r>
    </w:p>
    <w:p>
      <w:pPr>
        <w:spacing w:after="120" w:line="360" w:lineRule="auto"/>
        <w:ind w:firstLine="283"/>
        <w:jc w:val="both"/>
      </w:pPr>
      <w:r>
        <w:rPr>
          <w:rFonts w:ascii="Times New Roman" w:hAnsi="Times New Roman" w:cs="Times New Roman" w:eastAsia="Times New Roman"/>
          <w:b w:val="0"/>
          <w:i w:val="0"/>
          <w:sz w:val="24"/>
        </w:rPr>
        <w:t>The achieved sample is summarised stakeholder-wise in Table 3.1 and district-wise in Table 3.2.</w:t>
      </w:r>
    </w:p>
    <w:p>
      <w:pPr>
        <w:spacing w:before="160" w:after="80"/>
        <w:jc w:val="center"/>
      </w:pPr>
      <w:r>
        <w:rPr>
          <w:rFonts w:ascii="Times New Roman" w:hAnsi="Times New Roman" w:cs="Times New Roman" w:eastAsia="Times New Roman"/>
          <w:b/>
          <w:i w:val="0"/>
          <w:sz w:val="22"/>
        </w:rPr>
        <w:t>Table 3.1: Stakeholder-wise Distribution of the Achieved Sample (n = 1,300)</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i w:val="0"/>
                <w:sz w:val="22"/>
              </w:rPr>
              <w:t>S. No.</w:t>
            </w:r>
          </w:p>
        </w:tc>
        <w:tc>
          <w:tcPr>
            <w:tcW w:type="dxa" w:w="2280"/>
            <w:shd w:val="clear" w:color="auto" w:fill="D9E1F2"/>
          </w:tcPr>
          <w:p>
            <w:pPr>
              <w:jc w:val="center"/>
            </w:pPr>
            <w:r/>
            <w:r>
              <w:rPr>
                <w:rFonts w:ascii="Times New Roman" w:hAnsi="Times New Roman" w:cs="Times New Roman" w:eastAsia="Times New Roman"/>
                <w:b/>
                <w:i w:val="0"/>
                <w:sz w:val="22"/>
              </w:rPr>
              <w:t>Stakeholder Category</w:t>
            </w:r>
          </w:p>
        </w:tc>
        <w:tc>
          <w:tcPr>
            <w:tcW w:type="dxa" w:w="2280"/>
            <w:shd w:val="clear" w:color="auto" w:fill="D9E1F2"/>
          </w:tcPr>
          <w:p>
            <w:pPr>
              <w:jc w:val="center"/>
            </w:pPr>
            <w:r/>
            <w:r>
              <w:rPr>
                <w:rFonts w:ascii="Times New Roman" w:hAnsi="Times New Roman" w:cs="Times New Roman" w:eastAsia="Times New Roman"/>
                <w:b/>
                <w:i w:val="0"/>
                <w:sz w:val="22"/>
              </w:rPr>
              <w:t>No. of Respondents</w:t>
            </w:r>
          </w:p>
        </w:tc>
        <w:tc>
          <w:tcPr>
            <w:tcW w:type="dxa" w:w="2280"/>
            <w:shd w:val="clear" w:color="auto" w:fill="D9E1F2"/>
          </w:tcPr>
          <w:p>
            <w:pPr>
              <w:jc w:val="center"/>
            </w:pPr>
            <w:r/>
            <w:r>
              <w:rPr>
                <w:rFonts w:ascii="Times New Roman" w:hAnsi="Times New Roman" w:cs="Times New Roman" w:eastAsia="Times New Roman"/>
                <w:b/>
                <w:i w:val="0"/>
                <w:sz w:val="22"/>
              </w:rPr>
              <w:t>Share (%)</w:t>
            </w:r>
          </w:p>
        </w:tc>
      </w:tr>
      <w:tr>
        <w:tc>
          <w:tcPr>
            <w:tcW w:type="dxa" w:w="2280"/>
          </w:tcPr>
          <w:p>
            <w:pPr>
              <w:jc w:val="center"/>
            </w:pPr>
            <w:r/>
            <w:r>
              <w:rPr>
                <w:rFonts w:ascii="Times New Roman" w:hAnsi="Times New Roman" w:cs="Times New Roman" w:eastAsia="Times New Roman"/>
                <w:b w:val="0"/>
                <w:i w:val="0"/>
                <w:sz w:val="22"/>
              </w:rPr>
              <w:t>1</w:t>
            </w:r>
          </w:p>
        </w:tc>
        <w:tc>
          <w:tcPr>
            <w:tcW w:type="dxa" w:w="2280"/>
          </w:tcPr>
          <w:p>
            <w:pPr>
              <w:jc w:val="center"/>
            </w:pPr>
            <w:r/>
            <w:r>
              <w:rPr>
                <w:rFonts w:ascii="Times New Roman" w:hAnsi="Times New Roman" w:cs="Times New Roman" w:eastAsia="Times New Roman"/>
                <w:b w:val="0"/>
                <w:i w:val="0"/>
                <w:sz w:val="22"/>
              </w:rPr>
              <w:t>Farmers</w:t>
            </w:r>
          </w:p>
        </w:tc>
        <w:tc>
          <w:tcPr>
            <w:tcW w:type="dxa" w:w="2280"/>
          </w:tcPr>
          <w:p>
            <w:pPr>
              <w:jc w:val="center"/>
            </w:pPr>
            <w:r/>
            <w:r>
              <w:rPr>
                <w:rFonts w:ascii="Times New Roman" w:hAnsi="Times New Roman" w:cs="Times New Roman" w:eastAsia="Times New Roman"/>
                <w:b w:val="0"/>
                <w:i w:val="0"/>
                <w:sz w:val="22"/>
              </w:rPr>
              <w:t>650</w:t>
            </w:r>
          </w:p>
        </w:tc>
        <w:tc>
          <w:tcPr>
            <w:tcW w:type="dxa" w:w="2280"/>
          </w:tcPr>
          <w:p>
            <w:pPr>
              <w:jc w:val="center"/>
            </w:pPr>
            <w:r/>
            <w:r>
              <w:rPr>
                <w:rFonts w:ascii="Times New Roman" w:hAnsi="Times New Roman" w:cs="Times New Roman" w:eastAsia="Times New Roman"/>
                <w:b w:val="0"/>
                <w:i w:val="0"/>
                <w:sz w:val="22"/>
              </w:rPr>
              <w:t>50.0%</w:t>
            </w:r>
          </w:p>
        </w:tc>
      </w:tr>
      <w:tr>
        <w:tc>
          <w:tcPr>
            <w:tcW w:type="dxa" w:w="2280"/>
          </w:tcPr>
          <w:p>
            <w:pPr>
              <w:jc w:val="center"/>
            </w:pPr>
            <w:r/>
            <w:r>
              <w:rPr>
                <w:rFonts w:ascii="Times New Roman" w:hAnsi="Times New Roman" w:cs="Times New Roman" w:eastAsia="Times New Roman"/>
                <w:b w:val="0"/>
                <w:i w:val="0"/>
                <w:sz w:val="22"/>
              </w:rPr>
              <w:t>2</w:t>
            </w:r>
          </w:p>
        </w:tc>
        <w:tc>
          <w:tcPr>
            <w:tcW w:type="dxa" w:w="2280"/>
          </w:tcPr>
          <w:p>
            <w:pPr>
              <w:jc w:val="center"/>
            </w:pPr>
            <w:r/>
            <w:r>
              <w:rPr>
                <w:rFonts w:ascii="Times New Roman" w:hAnsi="Times New Roman" w:cs="Times New Roman" w:eastAsia="Times New Roman"/>
                <w:b w:val="0"/>
                <w:i w:val="0"/>
                <w:sz w:val="22"/>
              </w:rPr>
              <w:t>Wholesalers</w:t>
            </w:r>
          </w:p>
        </w:tc>
        <w:tc>
          <w:tcPr>
            <w:tcW w:type="dxa" w:w="2280"/>
          </w:tcPr>
          <w:p>
            <w:pPr>
              <w:jc w:val="center"/>
            </w:pPr>
            <w:r/>
            <w:r>
              <w:rPr>
                <w:rFonts w:ascii="Times New Roman" w:hAnsi="Times New Roman" w:cs="Times New Roman" w:eastAsia="Times New Roman"/>
                <w:b w:val="0"/>
                <w:i w:val="0"/>
                <w:sz w:val="22"/>
              </w:rPr>
              <w:t>130</w:t>
            </w:r>
          </w:p>
        </w:tc>
        <w:tc>
          <w:tcPr>
            <w:tcW w:type="dxa" w:w="2280"/>
          </w:tcPr>
          <w:p>
            <w:pPr>
              <w:jc w:val="center"/>
            </w:pPr>
            <w:r/>
            <w:r>
              <w:rPr>
                <w:rFonts w:ascii="Times New Roman" w:hAnsi="Times New Roman" w:cs="Times New Roman" w:eastAsia="Times New Roman"/>
                <w:b w:val="0"/>
                <w:i w:val="0"/>
                <w:sz w:val="22"/>
              </w:rPr>
              <w:t>10.0%</w:t>
            </w:r>
          </w:p>
        </w:tc>
      </w:tr>
      <w:tr>
        <w:tc>
          <w:tcPr>
            <w:tcW w:type="dxa" w:w="2280"/>
          </w:tcPr>
          <w:p>
            <w:pPr>
              <w:jc w:val="center"/>
            </w:pPr>
            <w:r/>
            <w:r>
              <w:rPr>
                <w:rFonts w:ascii="Times New Roman" w:hAnsi="Times New Roman" w:cs="Times New Roman" w:eastAsia="Times New Roman"/>
                <w:b w:val="0"/>
                <w:i w:val="0"/>
                <w:sz w:val="22"/>
              </w:rPr>
              <w:t>3</w:t>
            </w:r>
          </w:p>
        </w:tc>
        <w:tc>
          <w:tcPr>
            <w:tcW w:type="dxa" w:w="2280"/>
          </w:tcPr>
          <w:p>
            <w:pPr>
              <w:jc w:val="center"/>
            </w:pPr>
            <w:r/>
            <w:r>
              <w:rPr>
                <w:rFonts w:ascii="Times New Roman" w:hAnsi="Times New Roman" w:cs="Times New Roman" w:eastAsia="Times New Roman"/>
                <w:b w:val="0"/>
                <w:i w:val="0"/>
                <w:sz w:val="22"/>
              </w:rPr>
              <w:t>Transporters</w:t>
            </w:r>
          </w:p>
        </w:tc>
        <w:tc>
          <w:tcPr>
            <w:tcW w:type="dxa" w:w="2280"/>
          </w:tcPr>
          <w:p>
            <w:pPr>
              <w:jc w:val="center"/>
            </w:pPr>
            <w:r/>
            <w:r>
              <w:rPr>
                <w:rFonts w:ascii="Times New Roman" w:hAnsi="Times New Roman" w:cs="Times New Roman" w:eastAsia="Times New Roman"/>
                <w:b w:val="0"/>
                <w:i w:val="0"/>
                <w:sz w:val="22"/>
              </w:rPr>
              <w:t>130</w:t>
            </w:r>
          </w:p>
        </w:tc>
        <w:tc>
          <w:tcPr>
            <w:tcW w:type="dxa" w:w="2280"/>
          </w:tcPr>
          <w:p>
            <w:pPr>
              <w:jc w:val="center"/>
            </w:pPr>
            <w:r/>
            <w:r>
              <w:rPr>
                <w:rFonts w:ascii="Times New Roman" w:hAnsi="Times New Roman" w:cs="Times New Roman" w:eastAsia="Times New Roman"/>
                <w:b w:val="0"/>
                <w:i w:val="0"/>
                <w:sz w:val="22"/>
              </w:rPr>
              <w:t>10.0%</w:t>
            </w:r>
          </w:p>
        </w:tc>
      </w:tr>
      <w:tr>
        <w:tc>
          <w:tcPr>
            <w:tcW w:type="dxa" w:w="2280"/>
          </w:tcPr>
          <w:p>
            <w:pPr>
              <w:jc w:val="center"/>
            </w:pPr>
            <w:r/>
            <w:r>
              <w:rPr>
                <w:rFonts w:ascii="Times New Roman" w:hAnsi="Times New Roman" w:cs="Times New Roman" w:eastAsia="Times New Roman"/>
                <w:b w:val="0"/>
                <w:i w:val="0"/>
                <w:sz w:val="22"/>
              </w:rPr>
              <w:t>4</w:t>
            </w:r>
          </w:p>
        </w:tc>
        <w:tc>
          <w:tcPr>
            <w:tcW w:type="dxa" w:w="2280"/>
          </w:tcPr>
          <w:p>
            <w:pPr>
              <w:jc w:val="center"/>
            </w:pPr>
            <w:r/>
            <w:r>
              <w:rPr>
                <w:rFonts w:ascii="Times New Roman" w:hAnsi="Times New Roman" w:cs="Times New Roman" w:eastAsia="Times New Roman"/>
                <w:b w:val="0"/>
                <w:i w:val="0"/>
                <w:sz w:val="22"/>
              </w:rPr>
              <w:t>Retailers</w:t>
            </w:r>
          </w:p>
        </w:tc>
        <w:tc>
          <w:tcPr>
            <w:tcW w:type="dxa" w:w="2280"/>
          </w:tcPr>
          <w:p>
            <w:pPr>
              <w:jc w:val="center"/>
            </w:pPr>
            <w:r/>
            <w:r>
              <w:rPr>
                <w:rFonts w:ascii="Times New Roman" w:hAnsi="Times New Roman" w:cs="Times New Roman" w:eastAsia="Times New Roman"/>
                <w:b w:val="0"/>
                <w:i w:val="0"/>
                <w:sz w:val="22"/>
              </w:rPr>
              <w:t>130</w:t>
            </w:r>
          </w:p>
        </w:tc>
        <w:tc>
          <w:tcPr>
            <w:tcW w:type="dxa" w:w="2280"/>
          </w:tcPr>
          <w:p>
            <w:pPr>
              <w:jc w:val="center"/>
            </w:pPr>
            <w:r/>
            <w:r>
              <w:rPr>
                <w:rFonts w:ascii="Times New Roman" w:hAnsi="Times New Roman" w:cs="Times New Roman" w:eastAsia="Times New Roman"/>
                <w:b w:val="0"/>
                <w:i w:val="0"/>
                <w:sz w:val="22"/>
              </w:rPr>
              <w:t>10.0%</w:t>
            </w:r>
          </w:p>
        </w:tc>
      </w:tr>
      <w:tr>
        <w:tc>
          <w:tcPr>
            <w:tcW w:type="dxa" w:w="2280"/>
          </w:tcPr>
          <w:p>
            <w:pPr>
              <w:jc w:val="center"/>
            </w:pPr>
            <w:r/>
            <w:r>
              <w:rPr>
                <w:rFonts w:ascii="Times New Roman" w:hAnsi="Times New Roman" w:cs="Times New Roman" w:eastAsia="Times New Roman"/>
                <w:b w:val="0"/>
                <w:i w:val="0"/>
                <w:sz w:val="22"/>
              </w:rPr>
              <w:t>5</w:t>
            </w:r>
          </w:p>
        </w:tc>
        <w:tc>
          <w:tcPr>
            <w:tcW w:type="dxa" w:w="2280"/>
          </w:tcPr>
          <w:p>
            <w:pPr>
              <w:jc w:val="center"/>
            </w:pPr>
            <w:r/>
            <w:r>
              <w:rPr>
                <w:rFonts w:ascii="Times New Roman" w:hAnsi="Times New Roman" w:cs="Times New Roman" w:eastAsia="Times New Roman"/>
                <w:b w:val="0"/>
                <w:i w:val="0"/>
                <w:sz w:val="22"/>
              </w:rPr>
              <w:t>Village Traders</w:t>
            </w:r>
          </w:p>
        </w:tc>
        <w:tc>
          <w:tcPr>
            <w:tcW w:type="dxa" w:w="2280"/>
          </w:tcPr>
          <w:p>
            <w:pPr>
              <w:jc w:val="center"/>
            </w:pPr>
            <w:r/>
            <w:r>
              <w:rPr>
                <w:rFonts w:ascii="Times New Roman" w:hAnsi="Times New Roman" w:cs="Times New Roman" w:eastAsia="Times New Roman"/>
                <w:b w:val="0"/>
                <w:i w:val="0"/>
                <w:sz w:val="22"/>
              </w:rPr>
              <w:t>117</w:t>
            </w:r>
          </w:p>
        </w:tc>
        <w:tc>
          <w:tcPr>
            <w:tcW w:type="dxa" w:w="2280"/>
          </w:tcPr>
          <w:p>
            <w:pPr>
              <w:jc w:val="center"/>
            </w:pPr>
            <w:r/>
            <w:r>
              <w:rPr>
                <w:rFonts w:ascii="Times New Roman" w:hAnsi="Times New Roman" w:cs="Times New Roman" w:eastAsia="Times New Roman"/>
                <w:b w:val="0"/>
                <w:i w:val="0"/>
                <w:sz w:val="22"/>
              </w:rPr>
              <w:t>9.0%</w:t>
            </w:r>
          </w:p>
        </w:tc>
      </w:tr>
      <w:tr>
        <w:tc>
          <w:tcPr>
            <w:tcW w:type="dxa" w:w="2280"/>
          </w:tcPr>
          <w:p>
            <w:pPr>
              <w:jc w:val="center"/>
            </w:pPr>
            <w:r/>
            <w:r>
              <w:rPr>
                <w:rFonts w:ascii="Times New Roman" w:hAnsi="Times New Roman" w:cs="Times New Roman" w:eastAsia="Times New Roman"/>
                <w:b w:val="0"/>
                <w:i w:val="0"/>
                <w:sz w:val="22"/>
              </w:rPr>
              <w:t>6</w:t>
            </w:r>
          </w:p>
        </w:tc>
        <w:tc>
          <w:tcPr>
            <w:tcW w:type="dxa" w:w="2280"/>
          </w:tcPr>
          <w:p>
            <w:pPr>
              <w:jc w:val="center"/>
            </w:pPr>
            <w:r/>
            <w:r>
              <w:rPr>
                <w:rFonts w:ascii="Times New Roman" w:hAnsi="Times New Roman" w:cs="Times New Roman" w:eastAsia="Times New Roman"/>
                <w:b w:val="0"/>
                <w:i w:val="0"/>
                <w:sz w:val="22"/>
              </w:rPr>
              <w:t>Commission Agents</w:t>
            </w:r>
          </w:p>
        </w:tc>
        <w:tc>
          <w:tcPr>
            <w:tcW w:type="dxa" w:w="2280"/>
          </w:tcPr>
          <w:p>
            <w:pPr>
              <w:jc w:val="center"/>
            </w:pPr>
            <w:r/>
            <w:r>
              <w:rPr>
                <w:rFonts w:ascii="Times New Roman" w:hAnsi="Times New Roman" w:cs="Times New Roman" w:eastAsia="Times New Roman"/>
                <w:b w:val="0"/>
                <w:i w:val="0"/>
                <w:sz w:val="22"/>
              </w:rPr>
              <w:t>78</w:t>
            </w:r>
          </w:p>
        </w:tc>
        <w:tc>
          <w:tcPr>
            <w:tcW w:type="dxa" w:w="2280"/>
          </w:tcPr>
          <w:p>
            <w:pPr>
              <w:jc w:val="center"/>
            </w:pPr>
            <w:r/>
            <w:r>
              <w:rPr>
                <w:rFonts w:ascii="Times New Roman" w:hAnsi="Times New Roman" w:cs="Times New Roman" w:eastAsia="Times New Roman"/>
                <w:b w:val="0"/>
                <w:i w:val="0"/>
                <w:sz w:val="22"/>
              </w:rPr>
              <w:t>6.0%</w:t>
            </w:r>
          </w:p>
        </w:tc>
      </w:tr>
      <w:tr>
        <w:tc>
          <w:tcPr>
            <w:tcW w:type="dxa" w:w="2280"/>
          </w:tcPr>
          <w:p>
            <w:pPr>
              <w:jc w:val="center"/>
            </w:pPr>
            <w:r/>
            <w:r>
              <w:rPr>
                <w:rFonts w:ascii="Times New Roman" w:hAnsi="Times New Roman" w:cs="Times New Roman" w:eastAsia="Times New Roman"/>
                <w:b w:val="0"/>
                <w:i w:val="0"/>
                <w:sz w:val="22"/>
              </w:rPr>
              <w:t>7</w:t>
            </w:r>
          </w:p>
        </w:tc>
        <w:tc>
          <w:tcPr>
            <w:tcW w:type="dxa" w:w="2280"/>
          </w:tcPr>
          <w:p>
            <w:pPr>
              <w:jc w:val="center"/>
            </w:pPr>
            <w:r/>
            <w:r>
              <w:rPr>
                <w:rFonts w:ascii="Times New Roman" w:hAnsi="Times New Roman" w:cs="Times New Roman" w:eastAsia="Times New Roman"/>
                <w:b w:val="0"/>
                <w:i w:val="0"/>
                <w:sz w:val="22"/>
              </w:rPr>
              <w:t>Experts / Officials</w:t>
            </w:r>
          </w:p>
        </w:tc>
        <w:tc>
          <w:tcPr>
            <w:tcW w:type="dxa" w:w="2280"/>
          </w:tcPr>
          <w:p>
            <w:pPr>
              <w:jc w:val="center"/>
            </w:pPr>
            <w:r/>
            <w:r>
              <w:rPr>
                <w:rFonts w:ascii="Times New Roman" w:hAnsi="Times New Roman" w:cs="Times New Roman" w:eastAsia="Times New Roman"/>
                <w:b w:val="0"/>
                <w:i w:val="0"/>
                <w:sz w:val="22"/>
              </w:rPr>
              <w:t>65</w:t>
            </w:r>
          </w:p>
        </w:tc>
        <w:tc>
          <w:tcPr>
            <w:tcW w:type="dxa" w:w="2280"/>
          </w:tcPr>
          <w:p>
            <w:pPr>
              <w:jc w:val="center"/>
            </w:pPr>
            <w:r/>
            <w:r>
              <w:rPr>
                <w:rFonts w:ascii="Times New Roman" w:hAnsi="Times New Roman" w:cs="Times New Roman" w:eastAsia="Times New Roman"/>
                <w:b w:val="0"/>
                <w:i w:val="0"/>
                <w:sz w:val="22"/>
              </w:rPr>
              <w:t>5.0%</w:t>
            </w:r>
          </w:p>
        </w:tc>
      </w:tr>
      <w:tr>
        <w:tc>
          <w:tcPr>
            <w:tcW w:type="dxa" w:w="2280"/>
          </w:tcPr>
          <w:p>
            <w:pPr>
              <w:jc w:val="center"/>
            </w:pPr>
            <w:r/>
            <w:r>
              <w:rPr>
                <w:rFonts w:ascii="Times New Roman" w:hAnsi="Times New Roman" w:cs="Times New Roman" w:eastAsia="Times New Roman"/>
                <w:b w:val="0"/>
                <w:i w:val="0"/>
                <w:sz w:val="22"/>
              </w:rPr>
            </w:r>
          </w:p>
        </w:tc>
        <w:tc>
          <w:tcPr>
            <w:tcW w:type="dxa" w:w="2280"/>
          </w:tcPr>
          <w:p>
            <w:pPr>
              <w:jc w:val="center"/>
            </w:pPr>
            <w:r/>
            <w:r>
              <w:rPr>
                <w:rFonts w:ascii="Times New Roman" w:hAnsi="Times New Roman" w:cs="Times New Roman" w:eastAsia="Times New Roman"/>
                <w:b w:val="0"/>
                <w:i w:val="0"/>
                <w:sz w:val="22"/>
              </w:rPr>
              <w:t>Total</w:t>
            </w:r>
          </w:p>
        </w:tc>
        <w:tc>
          <w:tcPr>
            <w:tcW w:type="dxa" w:w="2280"/>
          </w:tcPr>
          <w:p>
            <w:pPr>
              <w:jc w:val="center"/>
            </w:pPr>
            <w:r/>
            <w:r>
              <w:rPr>
                <w:rFonts w:ascii="Times New Roman" w:hAnsi="Times New Roman" w:cs="Times New Roman" w:eastAsia="Times New Roman"/>
                <w:b w:val="0"/>
                <w:i w:val="0"/>
                <w:sz w:val="22"/>
              </w:rPr>
              <w:t>1,300</w:t>
            </w:r>
          </w:p>
        </w:tc>
        <w:tc>
          <w:tcPr>
            <w:tcW w:type="dxa" w:w="2280"/>
          </w:tcPr>
          <w:p>
            <w:pPr>
              <w:jc w:val="center"/>
            </w:pPr>
            <w:r/>
            <w:r>
              <w:rPr>
                <w:rFonts w:ascii="Times New Roman" w:hAnsi="Times New Roman" w:cs="Times New Roman" w:eastAsia="Times New Roman"/>
                <w:b w:val="0"/>
                <w:i w:val="0"/>
                <w:sz w:val="22"/>
              </w:rPr>
              <w:t>100.0%</w:t>
            </w:r>
          </w:p>
        </w:tc>
      </w:tr>
    </w:tbl>
    <w:p/>
    <w:p>
      <w:pPr>
        <w:spacing w:before="160" w:after="80"/>
        <w:jc w:val="center"/>
      </w:pPr>
      <w:r>
        <w:rPr>
          <w:rFonts w:ascii="Times New Roman" w:hAnsi="Times New Roman" w:cs="Times New Roman" w:eastAsia="Times New Roman"/>
          <w:b/>
          <w:i w:val="0"/>
          <w:sz w:val="22"/>
        </w:rPr>
        <w:t>Table 3.2: District-wise Distribution of the Achieved Sample (n = 1,300)</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i w:val="0"/>
                <w:sz w:val="22"/>
              </w:rPr>
              <w:t>S. No.</w:t>
            </w:r>
          </w:p>
        </w:tc>
        <w:tc>
          <w:tcPr>
            <w:tcW w:type="dxa" w:w="2280"/>
            <w:shd w:val="clear" w:color="auto" w:fill="D9E1F2"/>
          </w:tcPr>
          <w:p>
            <w:pPr>
              <w:jc w:val="center"/>
            </w:pPr>
            <w:r/>
            <w:r>
              <w:rPr>
                <w:rFonts w:ascii="Times New Roman" w:hAnsi="Times New Roman" w:cs="Times New Roman" w:eastAsia="Times New Roman"/>
                <w:b/>
                <w:i w:val="0"/>
                <w:sz w:val="22"/>
              </w:rPr>
              <w:t>District (Garhwal Region)</w:t>
            </w:r>
          </w:p>
        </w:tc>
        <w:tc>
          <w:tcPr>
            <w:tcW w:type="dxa" w:w="2280"/>
            <w:shd w:val="clear" w:color="auto" w:fill="D9E1F2"/>
          </w:tcPr>
          <w:p>
            <w:pPr>
              <w:jc w:val="center"/>
            </w:pPr>
            <w:r/>
            <w:r>
              <w:rPr>
                <w:rFonts w:ascii="Times New Roman" w:hAnsi="Times New Roman" w:cs="Times New Roman" w:eastAsia="Times New Roman"/>
                <w:b/>
                <w:i w:val="0"/>
                <w:sz w:val="22"/>
              </w:rPr>
              <w:t>No. of Respondents</w:t>
            </w:r>
          </w:p>
        </w:tc>
        <w:tc>
          <w:tcPr>
            <w:tcW w:type="dxa" w:w="2280"/>
            <w:shd w:val="clear" w:color="auto" w:fill="D9E1F2"/>
          </w:tcPr>
          <w:p>
            <w:pPr>
              <w:jc w:val="center"/>
            </w:pPr>
            <w:r/>
            <w:r>
              <w:rPr>
                <w:rFonts w:ascii="Times New Roman" w:hAnsi="Times New Roman" w:cs="Times New Roman" w:eastAsia="Times New Roman"/>
                <w:b/>
                <w:i w:val="0"/>
                <w:sz w:val="22"/>
              </w:rPr>
              <w:t>Share (%)</w:t>
            </w:r>
          </w:p>
        </w:tc>
      </w:tr>
      <w:tr>
        <w:tc>
          <w:tcPr>
            <w:tcW w:type="dxa" w:w="2280"/>
          </w:tcPr>
          <w:p>
            <w:pPr>
              <w:jc w:val="center"/>
            </w:pPr>
            <w:r/>
            <w:r>
              <w:rPr>
                <w:rFonts w:ascii="Times New Roman" w:hAnsi="Times New Roman" w:cs="Times New Roman" w:eastAsia="Times New Roman"/>
                <w:b w:val="0"/>
                <w:i w:val="0"/>
                <w:sz w:val="22"/>
              </w:rPr>
              <w:t>1</w:t>
            </w:r>
          </w:p>
        </w:tc>
        <w:tc>
          <w:tcPr>
            <w:tcW w:type="dxa" w:w="2280"/>
          </w:tcPr>
          <w:p>
            <w:pPr>
              <w:jc w:val="center"/>
            </w:pPr>
            <w:r/>
            <w:r>
              <w:rPr>
                <w:rFonts w:ascii="Times New Roman" w:hAnsi="Times New Roman" w:cs="Times New Roman" w:eastAsia="Times New Roman"/>
                <w:b w:val="0"/>
                <w:i w:val="0"/>
                <w:sz w:val="22"/>
              </w:rPr>
              <w:t>Chamoli</w:t>
            </w:r>
          </w:p>
        </w:tc>
        <w:tc>
          <w:tcPr>
            <w:tcW w:type="dxa" w:w="2280"/>
          </w:tcPr>
          <w:p>
            <w:pPr>
              <w:jc w:val="center"/>
            </w:pPr>
            <w:r/>
            <w:r>
              <w:rPr>
                <w:rFonts w:ascii="Times New Roman" w:hAnsi="Times New Roman" w:cs="Times New Roman" w:eastAsia="Times New Roman"/>
                <w:b w:val="0"/>
                <w:i w:val="0"/>
                <w:sz w:val="22"/>
              </w:rPr>
              <w:t>340</w:t>
            </w:r>
          </w:p>
        </w:tc>
        <w:tc>
          <w:tcPr>
            <w:tcW w:type="dxa" w:w="2280"/>
          </w:tcPr>
          <w:p>
            <w:pPr>
              <w:jc w:val="center"/>
            </w:pPr>
            <w:r/>
            <w:r>
              <w:rPr>
                <w:rFonts w:ascii="Times New Roman" w:hAnsi="Times New Roman" w:cs="Times New Roman" w:eastAsia="Times New Roman"/>
                <w:b w:val="0"/>
                <w:i w:val="0"/>
                <w:sz w:val="22"/>
              </w:rPr>
              <w:t>26.2%</w:t>
            </w:r>
          </w:p>
        </w:tc>
      </w:tr>
      <w:tr>
        <w:tc>
          <w:tcPr>
            <w:tcW w:type="dxa" w:w="2280"/>
          </w:tcPr>
          <w:p>
            <w:pPr>
              <w:jc w:val="center"/>
            </w:pPr>
            <w:r/>
            <w:r>
              <w:rPr>
                <w:rFonts w:ascii="Times New Roman" w:hAnsi="Times New Roman" w:cs="Times New Roman" w:eastAsia="Times New Roman"/>
                <w:b w:val="0"/>
                <w:i w:val="0"/>
                <w:sz w:val="22"/>
              </w:rPr>
              <w:t>2</w:t>
            </w:r>
          </w:p>
        </w:tc>
        <w:tc>
          <w:tcPr>
            <w:tcW w:type="dxa" w:w="2280"/>
          </w:tcPr>
          <w:p>
            <w:pPr>
              <w:jc w:val="center"/>
            </w:pPr>
            <w:r/>
            <w:r>
              <w:rPr>
                <w:rFonts w:ascii="Times New Roman" w:hAnsi="Times New Roman" w:cs="Times New Roman" w:eastAsia="Times New Roman"/>
                <w:b w:val="0"/>
                <w:i w:val="0"/>
                <w:sz w:val="22"/>
              </w:rPr>
              <w:t>Tehri Garhwal</w:t>
            </w:r>
          </w:p>
        </w:tc>
        <w:tc>
          <w:tcPr>
            <w:tcW w:type="dxa" w:w="2280"/>
          </w:tcPr>
          <w:p>
            <w:pPr>
              <w:jc w:val="center"/>
            </w:pPr>
            <w:r/>
            <w:r>
              <w:rPr>
                <w:rFonts w:ascii="Times New Roman" w:hAnsi="Times New Roman" w:cs="Times New Roman" w:eastAsia="Times New Roman"/>
                <w:b w:val="0"/>
                <w:i w:val="0"/>
                <w:sz w:val="22"/>
              </w:rPr>
              <w:t>333</w:t>
            </w:r>
          </w:p>
        </w:tc>
        <w:tc>
          <w:tcPr>
            <w:tcW w:type="dxa" w:w="2280"/>
          </w:tcPr>
          <w:p>
            <w:pPr>
              <w:jc w:val="center"/>
            </w:pPr>
            <w:r/>
            <w:r>
              <w:rPr>
                <w:rFonts w:ascii="Times New Roman" w:hAnsi="Times New Roman" w:cs="Times New Roman" w:eastAsia="Times New Roman"/>
                <w:b w:val="0"/>
                <w:i w:val="0"/>
                <w:sz w:val="22"/>
              </w:rPr>
              <w:t>25.6%</w:t>
            </w:r>
          </w:p>
        </w:tc>
      </w:tr>
      <w:tr>
        <w:tc>
          <w:tcPr>
            <w:tcW w:type="dxa" w:w="2280"/>
          </w:tcPr>
          <w:p>
            <w:pPr>
              <w:jc w:val="center"/>
            </w:pPr>
            <w:r/>
            <w:r>
              <w:rPr>
                <w:rFonts w:ascii="Times New Roman" w:hAnsi="Times New Roman" w:cs="Times New Roman" w:eastAsia="Times New Roman"/>
                <w:b w:val="0"/>
                <w:i w:val="0"/>
                <w:sz w:val="22"/>
              </w:rPr>
              <w:t>3</w:t>
            </w:r>
          </w:p>
        </w:tc>
        <w:tc>
          <w:tcPr>
            <w:tcW w:type="dxa" w:w="2280"/>
          </w:tcPr>
          <w:p>
            <w:pPr>
              <w:jc w:val="center"/>
            </w:pPr>
            <w:r/>
            <w:r>
              <w:rPr>
                <w:rFonts w:ascii="Times New Roman" w:hAnsi="Times New Roman" w:cs="Times New Roman" w:eastAsia="Times New Roman"/>
                <w:b w:val="0"/>
                <w:i w:val="0"/>
                <w:sz w:val="22"/>
              </w:rPr>
              <w:t>Rudraprayag</w:t>
            </w:r>
          </w:p>
        </w:tc>
        <w:tc>
          <w:tcPr>
            <w:tcW w:type="dxa" w:w="2280"/>
          </w:tcPr>
          <w:p>
            <w:pPr>
              <w:jc w:val="center"/>
            </w:pPr>
            <w:r/>
            <w:r>
              <w:rPr>
                <w:rFonts w:ascii="Times New Roman" w:hAnsi="Times New Roman" w:cs="Times New Roman" w:eastAsia="Times New Roman"/>
                <w:b w:val="0"/>
                <w:i w:val="0"/>
                <w:sz w:val="22"/>
              </w:rPr>
              <w:t>316</w:t>
            </w:r>
          </w:p>
        </w:tc>
        <w:tc>
          <w:tcPr>
            <w:tcW w:type="dxa" w:w="2280"/>
          </w:tcPr>
          <w:p>
            <w:pPr>
              <w:jc w:val="center"/>
            </w:pPr>
            <w:r/>
            <w:r>
              <w:rPr>
                <w:rFonts w:ascii="Times New Roman" w:hAnsi="Times New Roman" w:cs="Times New Roman" w:eastAsia="Times New Roman"/>
                <w:b w:val="0"/>
                <w:i w:val="0"/>
                <w:sz w:val="22"/>
              </w:rPr>
              <w:t>24.3%</w:t>
            </w:r>
          </w:p>
        </w:tc>
      </w:tr>
      <w:tr>
        <w:tc>
          <w:tcPr>
            <w:tcW w:type="dxa" w:w="2280"/>
          </w:tcPr>
          <w:p>
            <w:pPr>
              <w:jc w:val="center"/>
            </w:pPr>
            <w:r/>
            <w:r>
              <w:rPr>
                <w:rFonts w:ascii="Times New Roman" w:hAnsi="Times New Roman" w:cs="Times New Roman" w:eastAsia="Times New Roman"/>
                <w:b w:val="0"/>
                <w:i w:val="0"/>
                <w:sz w:val="22"/>
              </w:rPr>
              <w:t>4</w:t>
            </w:r>
          </w:p>
        </w:tc>
        <w:tc>
          <w:tcPr>
            <w:tcW w:type="dxa" w:w="2280"/>
          </w:tcPr>
          <w:p>
            <w:pPr>
              <w:jc w:val="center"/>
            </w:pPr>
            <w:r/>
            <w:r>
              <w:rPr>
                <w:rFonts w:ascii="Times New Roman" w:hAnsi="Times New Roman" w:cs="Times New Roman" w:eastAsia="Times New Roman"/>
                <w:b w:val="0"/>
                <w:i w:val="0"/>
                <w:sz w:val="22"/>
              </w:rPr>
              <w:t>Pauri Garhwal</w:t>
            </w:r>
          </w:p>
        </w:tc>
        <w:tc>
          <w:tcPr>
            <w:tcW w:type="dxa" w:w="2280"/>
          </w:tcPr>
          <w:p>
            <w:pPr>
              <w:jc w:val="center"/>
            </w:pPr>
            <w:r/>
            <w:r>
              <w:rPr>
                <w:rFonts w:ascii="Times New Roman" w:hAnsi="Times New Roman" w:cs="Times New Roman" w:eastAsia="Times New Roman"/>
                <w:b w:val="0"/>
                <w:i w:val="0"/>
                <w:sz w:val="22"/>
              </w:rPr>
              <w:t>311</w:t>
            </w:r>
          </w:p>
        </w:tc>
        <w:tc>
          <w:tcPr>
            <w:tcW w:type="dxa" w:w="2280"/>
          </w:tcPr>
          <w:p>
            <w:pPr>
              <w:jc w:val="center"/>
            </w:pPr>
            <w:r/>
            <w:r>
              <w:rPr>
                <w:rFonts w:ascii="Times New Roman" w:hAnsi="Times New Roman" w:cs="Times New Roman" w:eastAsia="Times New Roman"/>
                <w:b w:val="0"/>
                <w:i w:val="0"/>
                <w:sz w:val="22"/>
              </w:rPr>
              <w:t>23.9%</w:t>
            </w:r>
          </w:p>
        </w:tc>
      </w:tr>
      <w:tr>
        <w:tc>
          <w:tcPr>
            <w:tcW w:type="dxa" w:w="2280"/>
          </w:tcPr>
          <w:p>
            <w:pPr>
              <w:jc w:val="center"/>
            </w:pPr>
            <w:r/>
            <w:r>
              <w:rPr>
                <w:rFonts w:ascii="Times New Roman" w:hAnsi="Times New Roman" w:cs="Times New Roman" w:eastAsia="Times New Roman"/>
                <w:b w:val="0"/>
                <w:i w:val="0"/>
                <w:sz w:val="22"/>
              </w:rPr>
            </w:r>
          </w:p>
        </w:tc>
        <w:tc>
          <w:tcPr>
            <w:tcW w:type="dxa" w:w="2280"/>
          </w:tcPr>
          <w:p>
            <w:pPr>
              <w:jc w:val="center"/>
            </w:pPr>
            <w:r/>
            <w:r>
              <w:rPr>
                <w:rFonts w:ascii="Times New Roman" w:hAnsi="Times New Roman" w:cs="Times New Roman" w:eastAsia="Times New Roman"/>
                <w:b w:val="0"/>
                <w:i w:val="0"/>
                <w:sz w:val="22"/>
              </w:rPr>
              <w:t>Total</w:t>
            </w:r>
          </w:p>
        </w:tc>
        <w:tc>
          <w:tcPr>
            <w:tcW w:type="dxa" w:w="2280"/>
          </w:tcPr>
          <w:p>
            <w:pPr>
              <w:jc w:val="center"/>
            </w:pPr>
            <w:r/>
            <w:r>
              <w:rPr>
                <w:rFonts w:ascii="Times New Roman" w:hAnsi="Times New Roman" w:cs="Times New Roman" w:eastAsia="Times New Roman"/>
                <w:b w:val="0"/>
                <w:i w:val="0"/>
                <w:sz w:val="22"/>
              </w:rPr>
              <w:t>1,300</w:t>
            </w:r>
          </w:p>
        </w:tc>
        <w:tc>
          <w:tcPr>
            <w:tcW w:type="dxa" w:w="2280"/>
          </w:tcPr>
          <w:p>
            <w:pPr>
              <w:jc w:val="center"/>
            </w:pPr>
            <w:r/>
            <w:r>
              <w:rPr>
                <w:rFonts w:ascii="Times New Roman" w:hAnsi="Times New Roman" w:cs="Times New Roman" w:eastAsia="Times New Roman"/>
                <w:b w:val="0"/>
                <w:i w:val="0"/>
                <w:sz w:val="22"/>
              </w:rPr>
              <w:t>100.0%</w:t>
            </w:r>
          </w:p>
        </w:tc>
      </w:tr>
    </w:tbl>
    <w:p/>
    <w:p>
      <w:pPr>
        <w:keepNext/>
        <w:spacing w:before="280" w:after="160"/>
      </w:pPr>
      <w:r>
        <w:rPr>
          <w:rFonts w:ascii="Times New Roman" w:hAnsi="Times New Roman" w:cs="Times New Roman" w:eastAsia="Times New Roman"/>
          <w:b/>
          <w:i w:val="0"/>
          <w:sz w:val="28"/>
        </w:rPr>
        <w:t>3.5  Factor Identification and Screening</w:t>
      </w:r>
    </w:p>
    <w:p>
      <w:pPr>
        <w:spacing w:after="120" w:line="360" w:lineRule="auto"/>
        <w:ind w:firstLine="283"/>
        <w:jc w:val="both"/>
      </w:pPr>
      <w:r>
        <w:rPr>
          <w:rFonts w:ascii="Times New Roman" w:hAnsi="Times New Roman" w:cs="Times New Roman" w:eastAsia="Times New Roman"/>
          <w:b w:val="0"/>
          <w:i w:val="0"/>
          <w:sz w:val="24"/>
        </w:rPr>
        <w:t>The analytical strength of any MCDM exercise depends on the quality of the underlying factor list. I therefore treated factor identification as a project in its own right rather than as an instrument-design afterthought. The process moved in two clean steps: first, building a wide candidate pool, and then trimming it to a set of items that were both internally consistent and operationally meaningful.</w:t>
      </w:r>
    </w:p>
    <w:p>
      <w:pPr>
        <w:keepNext/>
        <w:spacing w:before="160" w:after="80"/>
      </w:pPr>
      <w:r>
        <w:rPr>
          <w:rFonts w:ascii="Times New Roman" w:hAnsi="Times New Roman" w:cs="Times New Roman" w:eastAsia="Times New Roman"/>
          <w:b/>
          <w:i/>
          <w:sz w:val="24"/>
        </w:rPr>
        <w:t>3.5.1  Building the Candidate Pool of 144 Factors</w:t>
      </w:r>
    </w:p>
    <w:p>
      <w:pPr>
        <w:spacing w:after="120" w:line="360" w:lineRule="auto"/>
        <w:ind w:firstLine="283"/>
        <w:jc w:val="both"/>
      </w:pPr>
      <w:r>
        <w:rPr>
          <w:rFonts w:ascii="Times New Roman" w:hAnsi="Times New Roman" w:cs="Times New Roman" w:eastAsia="Times New Roman"/>
          <w:b w:val="0"/>
          <w:i w:val="0"/>
          <w:sz w:val="24"/>
        </w:rPr>
        <w:t>The starting point was the literature. An extensive review of horticultural supply-chain studies, with particular attention to studies on citrus and hill horticulture, yielded a long list of factors that had previously been reported as material to channel performance. This list was supplemented by inputs from subject experts, by what came up in the pilot study, and by what stakeholders themselves raised during the Phase-I field visits. The five distinct input streams used to build the pool are listed below.</w:t>
      </w:r>
    </w:p>
    <w:p>
      <w:pPr>
        <w:pStyle w:val="ListBullet"/>
        <w:spacing w:after="40"/>
      </w:pPr>
      <w:r>
        <w:rPr>
          <w:rFonts w:ascii="Times New Roman" w:hAnsi="Times New Roman" w:cs="Times New Roman" w:eastAsia="Times New Roman"/>
          <w:b w:val="0"/>
          <w:i w:val="0"/>
          <w:sz w:val="24"/>
        </w:rPr>
        <w:t>Extensive literature review on horticultural and citrus supply chains</w:t>
      </w:r>
    </w:p>
    <w:p>
      <w:pPr>
        <w:pStyle w:val="ListBullet"/>
        <w:spacing w:after="40"/>
      </w:pPr>
      <w:r>
        <w:rPr>
          <w:rFonts w:ascii="Times New Roman" w:hAnsi="Times New Roman" w:cs="Times New Roman" w:eastAsia="Times New Roman"/>
          <w:b w:val="0"/>
          <w:i w:val="0"/>
          <w:sz w:val="24"/>
        </w:rPr>
        <w:t>Expert consultation with horticulture extension services and academia</w:t>
      </w:r>
    </w:p>
    <w:p>
      <w:pPr>
        <w:pStyle w:val="ListBullet"/>
        <w:spacing w:after="40"/>
      </w:pPr>
      <w:r>
        <w:rPr>
          <w:rFonts w:ascii="Times New Roman" w:hAnsi="Times New Roman" w:cs="Times New Roman" w:eastAsia="Times New Roman"/>
          <w:b w:val="0"/>
          <w:i w:val="0"/>
          <w:sz w:val="24"/>
        </w:rPr>
        <w:t>Pilot study findings (n = 30, two blocks in Garhwal)</w:t>
      </w:r>
    </w:p>
    <w:p>
      <w:pPr>
        <w:pStyle w:val="ListBullet"/>
        <w:spacing w:after="40"/>
      </w:pPr>
      <w:r>
        <w:rPr>
          <w:rFonts w:ascii="Times New Roman" w:hAnsi="Times New Roman" w:cs="Times New Roman" w:eastAsia="Times New Roman"/>
          <w:b w:val="0"/>
          <w:i w:val="0"/>
          <w:sz w:val="24"/>
        </w:rPr>
        <w:t>Stakeholder discussions during exploratory field visits</w:t>
      </w:r>
    </w:p>
    <w:p>
      <w:pPr>
        <w:pStyle w:val="ListBullet"/>
        <w:spacing w:after="40"/>
      </w:pPr>
      <w:r>
        <w:rPr>
          <w:rFonts w:ascii="Times New Roman" w:hAnsi="Times New Roman" w:cs="Times New Roman" w:eastAsia="Times New Roman"/>
          <w:b w:val="0"/>
          <w:i w:val="0"/>
          <w:sz w:val="24"/>
        </w:rPr>
        <w:t>Direct field observations at orchards and at the Dehradun and Haridwar mandis</w:t>
      </w:r>
    </w:p>
    <w:p>
      <w:pPr>
        <w:spacing w:after="120" w:line="360" w:lineRule="auto"/>
        <w:ind w:firstLine="283"/>
        <w:jc w:val="both"/>
      </w:pPr>
      <w:r>
        <w:rPr>
          <w:rFonts w:ascii="Times New Roman" w:hAnsi="Times New Roman" w:cs="Times New Roman" w:eastAsia="Times New Roman"/>
          <w:b w:val="0"/>
          <w:i w:val="0"/>
          <w:sz w:val="24"/>
        </w:rPr>
        <w:t>These inputs together produced 144 candidate factors. To make them tractable, the factors were classified along two crossed dimensions: the stage of the channel at which they operate (Farm, Trader, Mandi, Retail, Transport) and the aspect of performance they bear on (Cost, Time, Quality). Table 3.3 summarises the distribution of the 144 candidates across these dimensions.</w:t>
      </w:r>
    </w:p>
    <w:p>
      <w:pPr>
        <w:spacing w:before="160" w:after="80"/>
        <w:jc w:val="center"/>
      </w:pPr>
      <w:r>
        <w:rPr>
          <w:rFonts w:ascii="Times New Roman" w:hAnsi="Times New Roman" w:cs="Times New Roman" w:eastAsia="Times New Roman"/>
          <w:b/>
          <w:i w:val="0"/>
          <w:sz w:val="22"/>
        </w:rPr>
        <w:t>Table 3.3: Initial Distribution of the 144 Candidate Factors</w:t>
      </w:r>
    </w:p>
    <w:tbl>
      <w:tblPr>
        <w:tblStyle w:val="LightGrid-Accent1"/>
        <w:tblW w:type="auto" w:w="0"/>
        <w:tblLook w:firstColumn="1" w:firstRow="1" w:lastColumn="0" w:lastRow="0" w:noHBand="0" w:noVBand="1" w:val="04A0"/>
      </w:tblPr>
      <w:tblGrid>
        <w:gridCol w:w="1824"/>
        <w:gridCol w:w="1824"/>
        <w:gridCol w:w="1824"/>
        <w:gridCol w:w="1824"/>
        <w:gridCol w:w="1824"/>
      </w:tblGrid>
      <w:tr>
        <w:tc>
          <w:tcPr>
            <w:tcW w:type="dxa" w:w="1824"/>
            <w:shd w:val="clear" w:color="auto" w:fill="D9E1F2"/>
          </w:tcPr>
          <w:p>
            <w:pPr>
              <w:jc w:val="center"/>
            </w:pPr>
            <w:r/>
            <w:r>
              <w:rPr>
                <w:rFonts w:ascii="Times New Roman" w:hAnsi="Times New Roman" w:cs="Times New Roman" w:eastAsia="Times New Roman"/>
                <w:b/>
                <w:i w:val="0"/>
                <w:sz w:val="22"/>
              </w:rPr>
              <w:t>Stage</w:t>
            </w:r>
          </w:p>
        </w:tc>
        <w:tc>
          <w:tcPr>
            <w:tcW w:type="dxa" w:w="1824"/>
            <w:shd w:val="clear" w:color="auto" w:fill="D9E1F2"/>
          </w:tcPr>
          <w:p>
            <w:pPr>
              <w:jc w:val="center"/>
            </w:pPr>
            <w:r/>
            <w:r>
              <w:rPr>
                <w:rFonts w:ascii="Times New Roman" w:hAnsi="Times New Roman" w:cs="Times New Roman" w:eastAsia="Times New Roman"/>
                <w:b/>
                <w:i w:val="0"/>
                <w:sz w:val="22"/>
              </w:rPr>
              <w:t>Cost</w:t>
            </w:r>
          </w:p>
        </w:tc>
        <w:tc>
          <w:tcPr>
            <w:tcW w:type="dxa" w:w="1824"/>
            <w:shd w:val="clear" w:color="auto" w:fill="D9E1F2"/>
          </w:tcPr>
          <w:p>
            <w:pPr>
              <w:jc w:val="center"/>
            </w:pPr>
            <w:r/>
            <w:r>
              <w:rPr>
                <w:rFonts w:ascii="Times New Roman" w:hAnsi="Times New Roman" w:cs="Times New Roman" w:eastAsia="Times New Roman"/>
                <w:b/>
                <w:i w:val="0"/>
                <w:sz w:val="22"/>
              </w:rPr>
              <w:t>Time</w:t>
            </w:r>
          </w:p>
        </w:tc>
        <w:tc>
          <w:tcPr>
            <w:tcW w:type="dxa" w:w="1824"/>
            <w:shd w:val="clear" w:color="auto" w:fill="D9E1F2"/>
          </w:tcPr>
          <w:p>
            <w:pPr>
              <w:jc w:val="center"/>
            </w:pPr>
            <w:r/>
            <w:r>
              <w:rPr>
                <w:rFonts w:ascii="Times New Roman" w:hAnsi="Times New Roman" w:cs="Times New Roman" w:eastAsia="Times New Roman"/>
                <w:b/>
                <w:i w:val="0"/>
                <w:sz w:val="22"/>
              </w:rPr>
              <w:t>Quality</w:t>
            </w:r>
          </w:p>
        </w:tc>
        <w:tc>
          <w:tcPr>
            <w:tcW w:type="dxa" w:w="1824"/>
            <w:shd w:val="clear" w:color="auto" w:fill="D9E1F2"/>
          </w:tcPr>
          <w:p>
            <w:pPr>
              <w:jc w:val="center"/>
            </w:pPr>
            <w:r/>
            <w:r>
              <w:rPr>
                <w:rFonts w:ascii="Times New Roman" w:hAnsi="Times New Roman" w:cs="Times New Roman" w:eastAsia="Times New Roman"/>
                <w:b/>
                <w:i w:val="0"/>
                <w:sz w:val="22"/>
              </w:rPr>
              <w:t>Sub-total</w:t>
            </w:r>
          </w:p>
        </w:tc>
      </w:tr>
      <w:tr>
        <w:tc>
          <w:tcPr>
            <w:tcW w:type="dxa" w:w="1824"/>
          </w:tcPr>
          <w:p>
            <w:pPr>
              <w:jc w:val="center"/>
            </w:pPr>
            <w:r/>
            <w:r>
              <w:rPr>
                <w:rFonts w:ascii="Times New Roman" w:hAnsi="Times New Roman" w:cs="Times New Roman" w:eastAsia="Times New Roman"/>
                <w:b w:val="0"/>
                <w:i w:val="0"/>
                <w:sz w:val="22"/>
              </w:rPr>
              <w:t>Farm-level</w:t>
            </w:r>
          </w:p>
        </w:tc>
        <w:tc>
          <w:tcPr>
            <w:tcW w:type="dxa" w:w="1824"/>
          </w:tcPr>
          <w:p>
            <w:pPr>
              <w:jc w:val="center"/>
            </w:pPr>
            <w:r/>
            <w:r>
              <w:rPr>
                <w:rFonts w:ascii="Times New Roman" w:hAnsi="Times New Roman" w:cs="Times New Roman" w:eastAsia="Times New Roman"/>
                <w:b w:val="0"/>
                <w:i w:val="0"/>
                <w:sz w:val="22"/>
              </w:rPr>
              <w:t>12</w:t>
            </w:r>
          </w:p>
        </w:tc>
        <w:tc>
          <w:tcPr>
            <w:tcW w:type="dxa" w:w="1824"/>
          </w:tcPr>
          <w:p>
            <w:pPr>
              <w:jc w:val="center"/>
            </w:pPr>
            <w:r/>
            <w:r>
              <w:rPr>
                <w:rFonts w:ascii="Times New Roman" w:hAnsi="Times New Roman" w:cs="Times New Roman" w:eastAsia="Times New Roman"/>
                <w:b w:val="0"/>
                <w:i w:val="0"/>
                <w:sz w:val="22"/>
              </w:rPr>
              <w:t>10</w:t>
            </w:r>
          </w:p>
        </w:tc>
        <w:tc>
          <w:tcPr>
            <w:tcW w:type="dxa" w:w="1824"/>
          </w:tcPr>
          <w:p>
            <w:pPr>
              <w:jc w:val="center"/>
            </w:pPr>
            <w:r/>
            <w:r>
              <w:rPr>
                <w:rFonts w:ascii="Times New Roman" w:hAnsi="Times New Roman" w:cs="Times New Roman" w:eastAsia="Times New Roman"/>
                <w:b w:val="0"/>
                <w:i w:val="0"/>
                <w:sz w:val="22"/>
              </w:rPr>
              <w:t>12</w:t>
            </w:r>
          </w:p>
        </w:tc>
        <w:tc>
          <w:tcPr>
            <w:tcW w:type="dxa" w:w="1824"/>
          </w:tcPr>
          <w:p>
            <w:pPr>
              <w:jc w:val="center"/>
            </w:pPr>
            <w:r/>
            <w:r>
              <w:rPr>
                <w:rFonts w:ascii="Times New Roman" w:hAnsi="Times New Roman" w:cs="Times New Roman" w:eastAsia="Times New Roman"/>
                <w:b w:val="0"/>
                <w:i w:val="0"/>
                <w:sz w:val="22"/>
              </w:rPr>
              <w:t>34</w:t>
            </w:r>
          </w:p>
        </w:tc>
      </w:tr>
      <w:tr>
        <w:tc>
          <w:tcPr>
            <w:tcW w:type="dxa" w:w="1824"/>
          </w:tcPr>
          <w:p>
            <w:pPr>
              <w:jc w:val="center"/>
            </w:pPr>
            <w:r/>
            <w:r>
              <w:rPr>
                <w:rFonts w:ascii="Times New Roman" w:hAnsi="Times New Roman" w:cs="Times New Roman" w:eastAsia="Times New Roman"/>
                <w:b w:val="0"/>
                <w:i w:val="0"/>
                <w:sz w:val="22"/>
              </w:rPr>
              <w:t>Trader-level</w:t>
            </w:r>
          </w:p>
        </w:tc>
        <w:tc>
          <w:tcPr>
            <w:tcW w:type="dxa" w:w="1824"/>
          </w:tcPr>
          <w:p>
            <w:pPr>
              <w:jc w:val="center"/>
            </w:pPr>
            <w:r/>
            <w:r>
              <w:rPr>
                <w:rFonts w:ascii="Times New Roman" w:hAnsi="Times New Roman" w:cs="Times New Roman" w:eastAsia="Times New Roman"/>
                <w:b w:val="0"/>
                <w:i w:val="0"/>
                <w:sz w:val="22"/>
              </w:rPr>
              <w:t>11</w:t>
            </w:r>
          </w:p>
        </w:tc>
        <w:tc>
          <w:tcPr>
            <w:tcW w:type="dxa" w:w="1824"/>
          </w:tcPr>
          <w:p>
            <w:pPr>
              <w:jc w:val="center"/>
            </w:pPr>
            <w:r/>
            <w:r>
              <w:rPr>
                <w:rFonts w:ascii="Times New Roman" w:hAnsi="Times New Roman" w:cs="Times New Roman" w:eastAsia="Times New Roman"/>
                <w:b w:val="0"/>
                <w:i w:val="0"/>
                <w:sz w:val="22"/>
              </w:rPr>
              <w:t>9</w:t>
            </w:r>
          </w:p>
        </w:tc>
        <w:tc>
          <w:tcPr>
            <w:tcW w:type="dxa" w:w="1824"/>
          </w:tcPr>
          <w:p>
            <w:pPr>
              <w:jc w:val="center"/>
            </w:pPr>
            <w:r/>
            <w:r>
              <w:rPr>
                <w:rFonts w:ascii="Times New Roman" w:hAnsi="Times New Roman" w:cs="Times New Roman" w:eastAsia="Times New Roman"/>
                <w:b w:val="0"/>
                <w:i w:val="0"/>
                <w:sz w:val="22"/>
              </w:rPr>
              <w:t>9</w:t>
            </w:r>
          </w:p>
        </w:tc>
        <w:tc>
          <w:tcPr>
            <w:tcW w:type="dxa" w:w="1824"/>
          </w:tcPr>
          <w:p>
            <w:pPr>
              <w:jc w:val="center"/>
            </w:pPr>
            <w:r/>
            <w:r>
              <w:rPr>
                <w:rFonts w:ascii="Times New Roman" w:hAnsi="Times New Roman" w:cs="Times New Roman" w:eastAsia="Times New Roman"/>
                <w:b w:val="0"/>
                <w:i w:val="0"/>
                <w:sz w:val="22"/>
              </w:rPr>
              <w:t>29</w:t>
            </w:r>
          </w:p>
        </w:tc>
      </w:tr>
      <w:tr>
        <w:tc>
          <w:tcPr>
            <w:tcW w:type="dxa" w:w="1824"/>
          </w:tcPr>
          <w:p>
            <w:pPr>
              <w:jc w:val="center"/>
            </w:pPr>
            <w:r/>
            <w:r>
              <w:rPr>
                <w:rFonts w:ascii="Times New Roman" w:hAnsi="Times New Roman" w:cs="Times New Roman" w:eastAsia="Times New Roman"/>
                <w:b w:val="0"/>
                <w:i w:val="0"/>
                <w:sz w:val="22"/>
              </w:rPr>
              <w:t>Mandi-level</w:t>
            </w:r>
          </w:p>
        </w:tc>
        <w:tc>
          <w:tcPr>
            <w:tcW w:type="dxa" w:w="1824"/>
          </w:tcPr>
          <w:p>
            <w:pPr>
              <w:jc w:val="center"/>
            </w:pPr>
            <w:r/>
            <w:r>
              <w:rPr>
                <w:rFonts w:ascii="Times New Roman" w:hAnsi="Times New Roman" w:cs="Times New Roman" w:eastAsia="Times New Roman"/>
                <w:b w:val="0"/>
                <w:i w:val="0"/>
                <w:sz w:val="22"/>
              </w:rPr>
              <w:t>10</w:t>
            </w:r>
          </w:p>
        </w:tc>
        <w:tc>
          <w:tcPr>
            <w:tcW w:type="dxa" w:w="1824"/>
          </w:tcPr>
          <w:p>
            <w:pPr>
              <w:jc w:val="center"/>
            </w:pPr>
            <w:r/>
            <w:r>
              <w:rPr>
                <w:rFonts w:ascii="Times New Roman" w:hAnsi="Times New Roman" w:cs="Times New Roman" w:eastAsia="Times New Roman"/>
                <w:b w:val="0"/>
                <w:i w:val="0"/>
                <w:sz w:val="22"/>
              </w:rPr>
              <w:t>9</w:t>
            </w:r>
          </w:p>
        </w:tc>
        <w:tc>
          <w:tcPr>
            <w:tcW w:type="dxa" w:w="1824"/>
          </w:tcPr>
          <w:p>
            <w:pPr>
              <w:jc w:val="center"/>
            </w:pPr>
            <w:r/>
            <w:r>
              <w:rPr>
                <w:rFonts w:ascii="Times New Roman" w:hAnsi="Times New Roman" w:cs="Times New Roman" w:eastAsia="Times New Roman"/>
                <w:b w:val="0"/>
                <w:i w:val="0"/>
                <w:sz w:val="22"/>
              </w:rPr>
              <w:t>10</w:t>
            </w:r>
          </w:p>
        </w:tc>
        <w:tc>
          <w:tcPr>
            <w:tcW w:type="dxa" w:w="1824"/>
          </w:tcPr>
          <w:p>
            <w:pPr>
              <w:jc w:val="center"/>
            </w:pPr>
            <w:r/>
            <w:r>
              <w:rPr>
                <w:rFonts w:ascii="Times New Roman" w:hAnsi="Times New Roman" w:cs="Times New Roman" w:eastAsia="Times New Roman"/>
                <w:b w:val="0"/>
                <w:i w:val="0"/>
                <w:sz w:val="22"/>
              </w:rPr>
              <w:t>29</w:t>
            </w:r>
          </w:p>
        </w:tc>
      </w:tr>
      <w:tr>
        <w:tc>
          <w:tcPr>
            <w:tcW w:type="dxa" w:w="1824"/>
          </w:tcPr>
          <w:p>
            <w:pPr>
              <w:jc w:val="center"/>
            </w:pPr>
            <w:r/>
            <w:r>
              <w:rPr>
                <w:rFonts w:ascii="Times New Roman" w:hAnsi="Times New Roman" w:cs="Times New Roman" w:eastAsia="Times New Roman"/>
                <w:b w:val="0"/>
                <w:i w:val="0"/>
                <w:sz w:val="22"/>
              </w:rPr>
              <w:t>Retail-level</w:t>
            </w:r>
          </w:p>
        </w:tc>
        <w:tc>
          <w:tcPr>
            <w:tcW w:type="dxa" w:w="1824"/>
          </w:tcPr>
          <w:p>
            <w:pPr>
              <w:jc w:val="center"/>
            </w:pPr>
            <w:r/>
            <w:r>
              <w:rPr>
                <w:rFonts w:ascii="Times New Roman" w:hAnsi="Times New Roman" w:cs="Times New Roman" w:eastAsia="Times New Roman"/>
                <w:b w:val="0"/>
                <w:i w:val="0"/>
                <w:sz w:val="22"/>
              </w:rPr>
              <w:t>11</w:t>
            </w:r>
          </w:p>
        </w:tc>
        <w:tc>
          <w:tcPr>
            <w:tcW w:type="dxa" w:w="1824"/>
          </w:tcPr>
          <w:p>
            <w:pPr>
              <w:jc w:val="center"/>
            </w:pPr>
            <w:r/>
            <w:r>
              <w:rPr>
                <w:rFonts w:ascii="Times New Roman" w:hAnsi="Times New Roman" w:cs="Times New Roman" w:eastAsia="Times New Roman"/>
                <w:b w:val="0"/>
                <w:i w:val="0"/>
                <w:sz w:val="22"/>
              </w:rPr>
              <w:t>8</w:t>
            </w:r>
          </w:p>
        </w:tc>
        <w:tc>
          <w:tcPr>
            <w:tcW w:type="dxa" w:w="1824"/>
          </w:tcPr>
          <w:p>
            <w:pPr>
              <w:jc w:val="center"/>
            </w:pPr>
            <w:r/>
            <w:r>
              <w:rPr>
                <w:rFonts w:ascii="Times New Roman" w:hAnsi="Times New Roman" w:cs="Times New Roman" w:eastAsia="Times New Roman"/>
                <w:b w:val="0"/>
                <w:i w:val="0"/>
                <w:sz w:val="22"/>
              </w:rPr>
              <w:t>9</w:t>
            </w:r>
          </w:p>
        </w:tc>
        <w:tc>
          <w:tcPr>
            <w:tcW w:type="dxa" w:w="1824"/>
          </w:tcPr>
          <w:p>
            <w:pPr>
              <w:jc w:val="center"/>
            </w:pPr>
            <w:r/>
            <w:r>
              <w:rPr>
                <w:rFonts w:ascii="Times New Roman" w:hAnsi="Times New Roman" w:cs="Times New Roman" w:eastAsia="Times New Roman"/>
                <w:b w:val="0"/>
                <w:i w:val="0"/>
                <w:sz w:val="22"/>
              </w:rPr>
              <w:t>28</w:t>
            </w:r>
          </w:p>
        </w:tc>
      </w:tr>
      <w:tr>
        <w:tc>
          <w:tcPr>
            <w:tcW w:type="dxa" w:w="1824"/>
          </w:tcPr>
          <w:p>
            <w:pPr>
              <w:jc w:val="center"/>
            </w:pPr>
            <w:r/>
            <w:r>
              <w:rPr>
                <w:rFonts w:ascii="Times New Roman" w:hAnsi="Times New Roman" w:cs="Times New Roman" w:eastAsia="Times New Roman"/>
                <w:b w:val="0"/>
                <w:i w:val="0"/>
                <w:sz w:val="22"/>
              </w:rPr>
              <w:t>Transport-level</w:t>
            </w:r>
          </w:p>
        </w:tc>
        <w:tc>
          <w:tcPr>
            <w:tcW w:type="dxa" w:w="1824"/>
          </w:tcPr>
          <w:p>
            <w:pPr>
              <w:jc w:val="center"/>
            </w:pPr>
            <w:r/>
            <w:r>
              <w:rPr>
                <w:rFonts w:ascii="Times New Roman" w:hAnsi="Times New Roman" w:cs="Times New Roman" w:eastAsia="Times New Roman"/>
                <w:b w:val="0"/>
                <w:i w:val="0"/>
                <w:sz w:val="22"/>
              </w:rPr>
              <w:t>9</w:t>
            </w:r>
          </w:p>
        </w:tc>
        <w:tc>
          <w:tcPr>
            <w:tcW w:type="dxa" w:w="1824"/>
          </w:tcPr>
          <w:p>
            <w:pPr>
              <w:jc w:val="center"/>
            </w:pPr>
            <w:r/>
            <w:r>
              <w:rPr>
                <w:rFonts w:ascii="Times New Roman" w:hAnsi="Times New Roman" w:cs="Times New Roman" w:eastAsia="Times New Roman"/>
                <w:b w:val="0"/>
                <w:i w:val="0"/>
                <w:sz w:val="22"/>
              </w:rPr>
              <w:t>8</w:t>
            </w:r>
          </w:p>
        </w:tc>
        <w:tc>
          <w:tcPr>
            <w:tcW w:type="dxa" w:w="1824"/>
          </w:tcPr>
          <w:p>
            <w:pPr>
              <w:jc w:val="center"/>
            </w:pPr>
            <w:r/>
            <w:r>
              <w:rPr>
                <w:rFonts w:ascii="Times New Roman" w:hAnsi="Times New Roman" w:cs="Times New Roman" w:eastAsia="Times New Roman"/>
                <w:b w:val="0"/>
                <w:i w:val="0"/>
                <w:sz w:val="22"/>
              </w:rPr>
              <w:t>7</w:t>
            </w:r>
          </w:p>
        </w:tc>
        <w:tc>
          <w:tcPr>
            <w:tcW w:type="dxa" w:w="1824"/>
          </w:tcPr>
          <w:p>
            <w:pPr>
              <w:jc w:val="center"/>
            </w:pPr>
            <w:r/>
            <w:r>
              <w:rPr>
                <w:rFonts w:ascii="Times New Roman" w:hAnsi="Times New Roman" w:cs="Times New Roman" w:eastAsia="Times New Roman"/>
                <w:b w:val="0"/>
                <w:i w:val="0"/>
                <w:sz w:val="22"/>
              </w:rPr>
              <w:t>24</w:t>
            </w:r>
          </w:p>
        </w:tc>
      </w:tr>
      <w:tr>
        <w:tc>
          <w:tcPr>
            <w:tcW w:type="dxa" w:w="1824"/>
          </w:tcPr>
          <w:p>
            <w:pPr>
              <w:jc w:val="center"/>
            </w:pPr>
            <w:r/>
            <w:r>
              <w:rPr>
                <w:rFonts w:ascii="Times New Roman" w:hAnsi="Times New Roman" w:cs="Times New Roman" w:eastAsia="Times New Roman"/>
                <w:b w:val="0"/>
                <w:i w:val="0"/>
                <w:sz w:val="22"/>
              </w:rPr>
              <w:t>Total</w:t>
            </w:r>
          </w:p>
        </w:tc>
        <w:tc>
          <w:tcPr>
            <w:tcW w:type="dxa" w:w="1824"/>
          </w:tcPr>
          <w:p>
            <w:pPr>
              <w:jc w:val="center"/>
            </w:pPr>
            <w:r/>
            <w:r>
              <w:rPr>
                <w:rFonts w:ascii="Times New Roman" w:hAnsi="Times New Roman" w:cs="Times New Roman" w:eastAsia="Times New Roman"/>
                <w:b w:val="0"/>
                <w:i w:val="0"/>
                <w:sz w:val="22"/>
              </w:rPr>
              <w:t>53</w:t>
            </w:r>
          </w:p>
        </w:tc>
        <w:tc>
          <w:tcPr>
            <w:tcW w:type="dxa" w:w="1824"/>
          </w:tcPr>
          <w:p>
            <w:pPr>
              <w:jc w:val="center"/>
            </w:pPr>
            <w:r/>
            <w:r>
              <w:rPr>
                <w:rFonts w:ascii="Times New Roman" w:hAnsi="Times New Roman" w:cs="Times New Roman" w:eastAsia="Times New Roman"/>
                <w:b w:val="0"/>
                <w:i w:val="0"/>
                <w:sz w:val="22"/>
              </w:rPr>
              <w:t>44</w:t>
            </w:r>
          </w:p>
        </w:tc>
        <w:tc>
          <w:tcPr>
            <w:tcW w:type="dxa" w:w="1824"/>
          </w:tcPr>
          <w:p>
            <w:pPr>
              <w:jc w:val="center"/>
            </w:pPr>
            <w:r/>
            <w:r>
              <w:rPr>
                <w:rFonts w:ascii="Times New Roman" w:hAnsi="Times New Roman" w:cs="Times New Roman" w:eastAsia="Times New Roman"/>
                <w:b w:val="0"/>
                <w:i w:val="0"/>
                <w:sz w:val="22"/>
              </w:rPr>
              <w:t>47</w:t>
            </w:r>
          </w:p>
        </w:tc>
        <w:tc>
          <w:tcPr>
            <w:tcW w:type="dxa" w:w="1824"/>
          </w:tcPr>
          <w:p>
            <w:pPr>
              <w:jc w:val="center"/>
            </w:pPr>
            <w:r/>
            <w:r>
              <w:rPr>
                <w:rFonts w:ascii="Times New Roman" w:hAnsi="Times New Roman" w:cs="Times New Roman" w:eastAsia="Times New Roman"/>
                <w:b w:val="0"/>
                <w:i w:val="0"/>
                <w:sz w:val="22"/>
              </w:rPr>
              <w:t>144</w:t>
            </w:r>
          </w:p>
        </w:tc>
      </w:tr>
    </w:tbl>
    <w:p/>
    <w:p>
      <w:pPr>
        <w:keepNext/>
        <w:spacing w:before="160" w:after="80"/>
      </w:pPr>
      <w:r>
        <w:rPr>
          <w:rFonts w:ascii="Times New Roman" w:hAnsi="Times New Roman" w:cs="Times New Roman" w:eastAsia="Times New Roman"/>
          <w:b/>
          <w:i/>
          <w:sz w:val="24"/>
        </w:rPr>
        <w:t>3.5.2  Reliability and Consistency Screening</w:t>
      </w:r>
    </w:p>
    <w:p>
      <w:pPr>
        <w:spacing w:after="120" w:line="360" w:lineRule="auto"/>
        <w:ind w:firstLine="283"/>
        <w:jc w:val="both"/>
      </w:pPr>
      <w:r>
        <w:rPr>
          <w:rFonts w:ascii="Times New Roman" w:hAnsi="Times New Roman" w:cs="Times New Roman" w:eastAsia="Times New Roman"/>
          <w:b w:val="0"/>
          <w:i w:val="0"/>
          <w:sz w:val="24"/>
        </w:rPr>
        <w:t>The screening process was deliberately conservative. Items were removed at four successive checkpoints:</w:t>
      </w:r>
    </w:p>
    <w:p>
      <w:pPr>
        <w:pStyle w:val="ListNumber"/>
        <w:spacing w:after="40"/>
      </w:pPr>
      <w:r>
        <w:rPr>
          <w:rFonts w:ascii="Times New Roman" w:hAnsi="Times New Roman" w:cs="Times New Roman" w:eastAsia="Times New Roman"/>
          <w:b w:val="0"/>
          <w:i w:val="0"/>
          <w:sz w:val="24"/>
        </w:rPr>
        <w:t>Removal of overlapping items. Where two or more candidates measured essentially the same construct, the cleaner of the two was retained and the rest dropped after expert validation. This step took the pool from 144 to 112.</w:t>
      </w:r>
    </w:p>
    <w:p>
      <w:pPr>
        <w:pStyle w:val="ListNumber"/>
        <w:spacing w:after="40"/>
      </w:pPr>
      <w:r>
        <w:rPr>
          <w:rFonts w:ascii="Times New Roman" w:hAnsi="Times New Roman" w:cs="Times New Roman" w:eastAsia="Times New Roman"/>
          <w:b w:val="0"/>
          <w:i w:val="0"/>
          <w:sz w:val="24"/>
        </w:rPr>
        <w:t>Reliability test. Cronbach's α was computed for every sub-scale (stage × aspect). Items whose deletion improved the α of the parent scale, and items whose item-total correlation fell below 0.30, were dropped. This step took the pool from 112 to 96.</w:t>
      </w:r>
    </w:p>
    <w:p>
      <w:pPr>
        <w:pStyle w:val="ListNumber"/>
        <w:spacing w:after="40"/>
      </w:pPr>
      <w:r>
        <w:rPr>
          <w:rFonts w:ascii="Times New Roman" w:hAnsi="Times New Roman" w:cs="Times New Roman" w:eastAsia="Times New Roman"/>
          <w:b w:val="0"/>
          <w:i w:val="0"/>
          <w:sz w:val="24"/>
        </w:rPr>
        <w:t>Consistency check. Sampling adequacy was verified using the Kaiser–Meyer–Olkin (KMO) measure (≥ 0.60) and Bartlett's test of sphericity (p &lt; 0.05). Items that loaded weakly on their parent factor were removed. This step took the pool from 96 to 88.</w:t>
      </w:r>
    </w:p>
    <w:p>
      <w:pPr>
        <w:pStyle w:val="ListNumber"/>
        <w:spacing w:after="40"/>
      </w:pPr>
      <w:r>
        <w:rPr>
          <w:rFonts w:ascii="Times New Roman" w:hAnsi="Times New Roman" w:cs="Times New Roman" w:eastAsia="Times New Roman"/>
          <w:b w:val="0"/>
          <w:i w:val="0"/>
          <w:sz w:val="24"/>
        </w:rPr>
        <w:t>Final expert review. The trimmed list was returned to the expert panel for face-validity confirmation and any last refinements. Six more items were dropped at this step, leaving the finalised set at 82 factors.</w:t>
      </w:r>
    </w:p>
    <w:p>
      <w:pPr>
        <w:spacing w:after="120" w:line="360" w:lineRule="auto"/>
        <w:ind w:firstLine="283"/>
        <w:jc w:val="both"/>
      </w:pPr>
      <w:r>
        <w:rPr>
          <w:rFonts w:ascii="Times New Roman" w:hAnsi="Times New Roman" w:cs="Times New Roman" w:eastAsia="Times New Roman"/>
          <w:b w:val="0"/>
          <w:i w:val="0"/>
          <w:sz w:val="24"/>
        </w:rPr>
        <w:t>The funnel is shown graphically in Figure 3.2.</w:t>
      </w:r>
    </w:p>
    <w:p>
      <w:pPr>
        <w:jc w:val="center"/>
      </w:pPr>
      <w:r>
        <w:drawing>
          <wp:inline xmlns:a="http://schemas.openxmlformats.org/drawingml/2006/main" xmlns:pic="http://schemas.openxmlformats.org/drawingml/2006/picture">
            <wp:extent cx="5120640" cy="3824275"/>
            <wp:docPr id="2" name="Picture 2"/>
            <wp:cNvGraphicFramePr>
              <a:graphicFrameLocks noChangeAspect="1"/>
            </wp:cNvGraphicFramePr>
            <a:graphic>
              <a:graphicData uri="http://schemas.openxmlformats.org/drawingml/2006/picture">
                <pic:pic>
                  <pic:nvPicPr>
                    <pic:cNvPr id="0" name="factor_funnel_chapter3.png"/>
                    <pic:cNvPicPr/>
                  </pic:nvPicPr>
                  <pic:blipFill>
                    <a:blip r:embed="rId10"/>
                    <a:stretch>
                      <a:fillRect/>
                    </a:stretch>
                  </pic:blipFill>
                  <pic:spPr>
                    <a:xfrm>
                      <a:off x="0" y="0"/>
                      <a:ext cx="5120640" cy="3824275"/>
                    </a:xfrm>
                    <a:prstGeom prst="rect"/>
                  </pic:spPr>
                </pic:pic>
              </a:graphicData>
            </a:graphic>
          </wp:inline>
        </w:drawing>
      </w:r>
    </w:p>
    <w:p>
      <w:pPr>
        <w:spacing w:before="160" w:after="80"/>
        <w:jc w:val="center"/>
      </w:pPr>
      <w:r>
        <w:rPr>
          <w:rFonts w:ascii="Times New Roman" w:hAnsi="Times New Roman" w:cs="Times New Roman" w:eastAsia="Times New Roman"/>
          <w:b/>
          <w:i w:val="0"/>
          <w:sz w:val="22"/>
        </w:rPr>
        <w:t>Figure 3.2: Factor Screening Funnel - 144 Candidates Reduced to 82 Finalised Factors</w:t>
      </w:r>
    </w:p>
    <w:p>
      <w:pPr>
        <w:spacing w:after="120" w:line="360" w:lineRule="auto"/>
        <w:ind w:firstLine="283"/>
        <w:jc w:val="both"/>
      </w:pPr>
      <w:r>
        <w:rPr>
          <w:rFonts w:ascii="Times New Roman" w:hAnsi="Times New Roman" w:cs="Times New Roman" w:eastAsia="Times New Roman"/>
          <w:b w:val="0"/>
          <w:i w:val="0"/>
          <w:sz w:val="24"/>
        </w:rPr>
        <w:t>After screening, the 82 retained factors were redistributed across the five stages and three aspects, as set out in Table 3.4. The stage-level reduction is also shown in Figure 3.3.</w:t>
      </w:r>
    </w:p>
    <w:p>
      <w:pPr>
        <w:spacing w:before="160" w:after="80"/>
        <w:jc w:val="center"/>
      </w:pPr>
      <w:r>
        <w:rPr>
          <w:rFonts w:ascii="Times New Roman" w:hAnsi="Times New Roman" w:cs="Times New Roman" w:eastAsia="Times New Roman"/>
          <w:b/>
          <w:i w:val="0"/>
          <w:sz w:val="22"/>
        </w:rPr>
        <w:t>Table 3.4: Final Distribution of the 82 Retained Factors after Screening</w:t>
      </w:r>
    </w:p>
    <w:tbl>
      <w:tblPr>
        <w:tblStyle w:val="LightGrid-Accent1"/>
        <w:tblW w:type="auto" w:w="0"/>
        <w:tblLook w:firstColumn="1" w:firstRow="1" w:lastColumn="0" w:lastRow="0" w:noHBand="0" w:noVBand="1" w:val="04A0"/>
      </w:tblPr>
      <w:tblGrid>
        <w:gridCol w:w="1824"/>
        <w:gridCol w:w="1824"/>
        <w:gridCol w:w="1824"/>
        <w:gridCol w:w="1824"/>
        <w:gridCol w:w="1824"/>
      </w:tblGrid>
      <w:tr>
        <w:tc>
          <w:tcPr>
            <w:tcW w:type="dxa" w:w="1824"/>
            <w:shd w:val="clear" w:color="auto" w:fill="D9E1F2"/>
          </w:tcPr>
          <w:p>
            <w:pPr>
              <w:jc w:val="center"/>
            </w:pPr>
            <w:r/>
            <w:r>
              <w:rPr>
                <w:rFonts w:ascii="Times New Roman" w:hAnsi="Times New Roman" w:cs="Times New Roman" w:eastAsia="Times New Roman"/>
                <w:b/>
                <w:i w:val="0"/>
                <w:sz w:val="22"/>
              </w:rPr>
              <w:t>Stage</w:t>
            </w:r>
          </w:p>
        </w:tc>
        <w:tc>
          <w:tcPr>
            <w:tcW w:type="dxa" w:w="1824"/>
            <w:shd w:val="clear" w:color="auto" w:fill="D9E1F2"/>
          </w:tcPr>
          <w:p>
            <w:pPr>
              <w:jc w:val="center"/>
            </w:pPr>
            <w:r/>
            <w:r>
              <w:rPr>
                <w:rFonts w:ascii="Times New Roman" w:hAnsi="Times New Roman" w:cs="Times New Roman" w:eastAsia="Times New Roman"/>
                <w:b/>
                <w:i w:val="0"/>
                <w:sz w:val="22"/>
              </w:rPr>
              <w:t>Cost</w:t>
            </w:r>
          </w:p>
        </w:tc>
        <w:tc>
          <w:tcPr>
            <w:tcW w:type="dxa" w:w="1824"/>
            <w:shd w:val="clear" w:color="auto" w:fill="D9E1F2"/>
          </w:tcPr>
          <w:p>
            <w:pPr>
              <w:jc w:val="center"/>
            </w:pPr>
            <w:r/>
            <w:r>
              <w:rPr>
                <w:rFonts w:ascii="Times New Roman" w:hAnsi="Times New Roman" w:cs="Times New Roman" w:eastAsia="Times New Roman"/>
                <w:b/>
                <w:i w:val="0"/>
                <w:sz w:val="22"/>
              </w:rPr>
              <w:t>Time</w:t>
            </w:r>
          </w:p>
        </w:tc>
        <w:tc>
          <w:tcPr>
            <w:tcW w:type="dxa" w:w="1824"/>
            <w:shd w:val="clear" w:color="auto" w:fill="D9E1F2"/>
          </w:tcPr>
          <w:p>
            <w:pPr>
              <w:jc w:val="center"/>
            </w:pPr>
            <w:r/>
            <w:r>
              <w:rPr>
                <w:rFonts w:ascii="Times New Roman" w:hAnsi="Times New Roman" w:cs="Times New Roman" w:eastAsia="Times New Roman"/>
                <w:b/>
                <w:i w:val="0"/>
                <w:sz w:val="22"/>
              </w:rPr>
              <w:t>Quality</w:t>
            </w:r>
          </w:p>
        </w:tc>
        <w:tc>
          <w:tcPr>
            <w:tcW w:type="dxa" w:w="1824"/>
            <w:shd w:val="clear" w:color="auto" w:fill="D9E1F2"/>
          </w:tcPr>
          <w:p>
            <w:pPr>
              <w:jc w:val="center"/>
            </w:pPr>
            <w:r/>
            <w:r>
              <w:rPr>
                <w:rFonts w:ascii="Times New Roman" w:hAnsi="Times New Roman" w:cs="Times New Roman" w:eastAsia="Times New Roman"/>
                <w:b/>
                <w:i w:val="0"/>
                <w:sz w:val="22"/>
              </w:rPr>
              <w:t>Sub-total</w:t>
            </w:r>
          </w:p>
        </w:tc>
      </w:tr>
      <w:tr>
        <w:tc>
          <w:tcPr>
            <w:tcW w:type="dxa" w:w="1824"/>
          </w:tcPr>
          <w:p>
            <w:pPr>
              <w:jc w:val="center"/>
            </w:pPr>
            <w:r/>
            <w:r>
              <w:rPr>
                <w:rFonts w:ascii="Times New Roman" w:hAnsi="Times New Roman" w:cs="Times New Roman" w:eastAsia="Times New Roman"/>
                <w:b w:val="0"/>
                <w:i w:val="0"/>
                <w:sz w:val="22"/>
              </w:rPr>
              <w:t>Farm-level</w:t>
            </w:r>
          </w:p>
        </w:tc>
        <w:tc>
          <w:tcPr>
            <w:tcW w:type="dxa" w:w="1824"/>
          </w:tcPr>
          <w:p>
            <w:pPr>
              <w:jc w:val="center"/>
            </w:pPr>
            <w:r/>
            <w:r>
              <w:rPr>
                <w:rFonts w:ascii="Times New Roman" w:hAnsi="Times New Roman" w:cs="Times New Roman" w:eastAsia="Times New Roman"/>
                <w:b w:val="0"/>
                <w:i w:val="0"/>
                <w:sz w:val="22"/>
              </w:rPr>
              <w:t>7</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19</w:t>
            </w:r>
          </w:p>
        </w:tc>
      </w:tr>
      <w:tr>
        <w:tc>
          <w:tcPr>
            <w:tcW w:type="dxa" w:w="1824"/>
          </w:tcPr>
          <w:p>
            <w:pPr>
              <w:jc w:val="center"/>
            </w:pPr>
            <w:r/>
            <w:r>
              <w:rPr>
                <w:rFonts w:ascii="Times New Roman" w:hAnsi="Times New Roman" w:cs="Times New Roman" w:eastAsia="Times New Roman"/>
                <w:b w:val="0"/>
                <w:i w:val="0"/>
                <w:sz w:val="22"/>
              </w:rPr>
              <w:t>Trader-level</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16</w:t>
            </w:r>
          </w:p>
        </w:tc>
      </w:tr>
      <w:tr>
        <w:tc>
          <w:tcPr>
            <w:tcW w:type="dxa" w:w="1824"/>
          </w:tcPr>
          <w:p>
            <w:pPr>
              <w:jc w:val="center"/>
            </w:pPr>
            <w:r/>
            <w:r>
              <w:rPr>
                <w:rFonts w:ascii="Times New Roman" w:hAnsi="Times New Roman" w:cs="Times New Roman" w:eastAsia="Times New Roman"/>
                <w:b w:val="0"/>
                <w:i w:val="0"/>
                <w:sz w:val="22"/>
              </w:rPr>
              <w:t>Mandi-level</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16</w:t>
            </w:r>
          </w:p>
        </w:tc>
      </w:tr>
      <w:tr>
        <w:tc>
          <w:tcPr>
            <w:tcW w:type="dxa" w:w="1824"/>
          </w:tcPr>
          <w:p>
            <w:pPr>
              <w:jc w:val="center"/>
            </w:pPr>
            <w:r/>
            <w:r>
              <w:rPr>
                <w:rFonts w:ascii="Times New Roman" w:hAnsi="Times New Roman" w:cs="Times New Roman" w:eastAsia="Times New Roman"/>
                <w:b w:val="0"/>
                <w:i w:val="0"/>
                <w:sz w:val="22"/>
              </w:rPr>
              <w:t>Retail-level</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4</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15</w:t>
            </w:r>
          </w:p>
        </w:tc>
      </w:tr>
      <w:tr>
        <w:tc>
          <w:tcPr>
            <w:tcW w:type="dxa" w:w="1824"/>
          </w:tcPr>
          <w:p>
            <w:pPr>
              <w:jc w:val="center"/>
            </w:pPr>
            <w:r/>
            <w:r>
              <w:rPr>
                <w:rFonts w:ascii="Times New Roman" w:hAnsi="Times New Roman" w:cs="Times New Roman" w:eastAsia="Times New Roman"/>
                <w:b w:val="0"/>
                <w:i w:val="0"/>
                <w:sz w:val="22"/>
              </w:rPr>
              <w:t>Transport-level</w:t>
            </w:r>
          </w:p>
        </w:tc>
        <w:tc>
          <w:tcPr>
            <w:tcW w:type="dxa" w:w="1824"/>
          </w:tcPr>
          <w:p>
            <w:pPr>
              <w:jc w:val="center"/>
            </w:pPr>
            <w:r/>
            <w:r>
              <w:rPr>
                <w:rFonts w:ascii="Times New Roman" w:hAnsi="Times New Roman" w:cs="Times New Roman" w:eastAsia="Times New Roman"/>
                <w:b w:val="0"/>
                <w:i w:val="0"/>
                <w:sz w:val="22"/>
              </w:rPr>
              <w:t>6</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5</w:t>
            </w:r>
          </w:p>
        </w:tc>
        <w:tc>
          <w:tcPr>
            <w:tcW w:type="dxa" w:w="1824"/>
          </w:tcPr>
          <w:p>
            <w:pPr>
              <w:jc w:val="center"/>
            </w:pPr>
            <w:r/>
            <w:r>
              <w:rPr>
                <w:rFonts w:ascii="Times New Roman" w:hAnsi="Times New Roman" w:cs="Times New Roman" w:eastAsia="Times New Roman"/>
                <w:b w:val="0"/>
                <w:i w:val="0"/>
                <w:sz w:val="22"/>
              </w:rPr>
              <w:t>16</w:t>
            </w:r>
          </w:p>
        </w:tc>
      </w:tr>
      <w:tr>
        <w:tc>
          <w:tcPr>
            <w:tcW w:type="dxa" w:w="1824"/>
          </w:tcPr>
          <w:p>
            <w:pPr>
              <w:jc w:val="center"/>
            </w:pPr>
            <w:r/>
            <w:r>
              <w:rPr>
                <w:rFonts w:ascii="Times New Roman" w:hAnsi="Times New Roman" w:cs="Times New Roman" w:eastAsia="Times New Roman"/>
                <w:b w:val="0"/>
                <w:i w:val="0"/>
                <w:sz w:val="22"/>
              </w:rPr>
              <w:t>Total</w:t>
            </w:r>
          </w:p>
        </w:tc>
        <w:tc>
          <w:tcPr>
            <w:tcW w:type="dxa" w:w="1824"/>
          </w:tcPr>
          <w:p>
            <w:pPr>
              <w:jc w:val="center"/>
            </w:pPr>
            <w:r/>
            <w:r>
              <w:rPr>
                <w:rFonts w:ascii="Times New Roman" w:hAnsi="Times New Roman" w:cs="Times New Roman" w:eastAsia="Times New Roman"/>
                <w:b w:val="0"/>
                <w:i w:val="0"/>
                <w:sz w:val="22"/>
              </w:rPr>
              <w:t>31</w:t>
            </w:r>
          </w:p>
        </w:tc>
        <w:tc>
          <w:tcPr>
            <w:tcW w:type="dxa" w:w="1824"/>
          </w:tcPr>
          <w:p>
            <w:pPr>
              <w:jc w:val="center"/>
            </w:pPr>
            <w:r/>
            <w:r>
              <w:rPr>
                <w:rFonts w:ascii="Times New Roman" w:hAnsi="Times New Roman" w:cs="Times New Roman" w:eastAsia="Times New Roman"/>
                <w:b w:val="0"/>
                <w:i w:val="0"/>
                <w:sz w:val="22"/>
              </w:rPr>
              <w:t>25</w:t>
            </w:r>
          </w:p>
        </w:tc>
        <w:tc>
          <w:tcPr>
            <w:tcW w:type="dxa" w:w="1824"/>
          </w:tcPr>
          <w:p>
            <w:pPr>
              <w:jc w:val="center"/>
            </w:pPr>
            <w:r/>
            <w:r>
              <w:rPr>
                <w:rFonts w:ascii="Times New Roman" w:hAnsi="Times New Roman" w:cs="Times New Roman" w:eastAsia="Times New Roman"/>
                <w:b w:val="0"/>
                <w:i w:val="0"/>
                <w:sz w:val="22"/>
              </w:rPr>
              <w:t>26</w:t>
            </w:r>
          </w:p>
        </w:tc>
        <w:tc>
          <w:tcPr>
            <w:tcW w:type="dxa" w:w="1824"/>
          </w:tcPr>
          <w:p>
            <w:pPr>
              <w:jc w:val="center"/>
            </w:pPr>
            <w:r/>
            <w:r>
              <w:rPr>
                <w:rFonts w:ascii="Times New Roman" w:hAnsi="Times New Roman" w:cs="Times New Roman" w:eastAsia="Times New Roman"/>
                <w:b w:val="0"/>
                <w:i w:val="0"/>
                <w:sz w:val="22"/>
              </w:rPr>
              <w:t>82</w:t>
            </w:r>
          </w:p>
        </w:tc>
      </w:tr>
    </w:tbl>
    <w:p/>
    <w:p>
      <w:pPr>
        <w:jc w:val="center"/>
      </w:pPr>
      <w:r>
        <w:drawing>
          <wp:inline xmlns:a="http://schemas.openxmlformats.org/drawingml/2006/main" xmlns:pic="http://schemas.openxmlformats.org/drawingml/2006/picture">
            <wp:extent cx="5303520" cy="2923926"/>
            <wp:docPr id="3" name="Picture 3"/>
            <wp:cNvGraphicFramePr>
              <a:graphicFrameLocks noChangeAspect="1"/>
            </wp:cNvGraphicFramePr>
            <a:graphic>
              <a:graphicData uri="http://schemas.openxmlformats.org/drawingml/2006/picture">
                <pic:pic>
                  <pic:nvPicPr>
                    <pic:cNvPr id="0" name="factor_split_chapter3.png"/>
                    <pic:cNvPicPr/>
                  </pic:nvPicPr>
                  <pic:blipFill>
                    <a:blip r:embed="rId11"/>
                    <a:stretch>
                      <a:fillRect/>
                    </a:stretch>
                  </pic:blipFill>
                  <pic:spPr>
                    <a:xfrm>
                      <a:off x="0" y="0"/>
                      <a:ext cx="5303520" cy="2923926"/>
                    </a:xfrm>
                    <a:prstGeom prst="rect"/>
                  </pic:spPr>
                </pic:pic>
              </a:graphicData>
            </a:graphic>
          </wp:inline>
        </w:drawing>
      </w:r>
    </w:p>
    <w:p>
      <w:pPr>
        <w:spacing w:before="160" w:after="80"/>
        <w:jc w:val="center"/>
      </w:pPr>
      <w:r>
        <w:rPr>
          <w:rFonts w:ascii="Times New Roman" w:hAnsi="Times New Roman" w:cs="Times New Roman" w:eastAsia="Times New Roman"/>
          <w:b/>
          <w:i w:val="0"/>
          <w:sz w:val="22"/>
        </w:rPr>
        <w:t>Figure 3.3: Stage-wise Reduction of Factors after Reliability and Consistency Screening</w:t>
      </w:r>
    </w:p>
    <w:p>
      <w:pPr>
        <w:keepNext/>
        <w:spacing w:before="160" w:after="80"/>
      </w:pPr>
      <w:r>
        <w:rPr>
          <w:rFonts w:ascii="Times New Roman" w:hAnsi="Times New Roman" w:cs="Times New Roman" w:eastAsia="Times New Roman"/>
          <w:b/>
          <w:i/>
          <w:sz w:val="24"/>
        </w:rPr>
        <w:t>3.5.3  Illustrative Factors in the Final Set</w:t>
      </w:r>
    </w:p>
    <w:p>
      <w:pPr>
        <w:spacing w:after="120" w:line="360" w:lineRule="auto"/>
        <w:ind w:firstLine="283"/>
        <w:jc w:val="both"/>
      </w:pPr>
      <w:r>
        <w:rPr>
          <w:rFonts w:ascii="Times New Roman" w:hAnsi="Times New Roman" w:cs="Times New Roman" w:eastAsia="Times New Roman"/>
          <w:b w:val="0"/>
          <w:i w:val="0"/>
          <w:sz w:val="24"/>
        </w:rPr>
        <w:t>To give the reader a sense of what the 82 finalised factors look like in practice, the most representative items are summarised below.</w:t>
      </w:r>
    </w:p>
    <w:p>
      <w:pPr>
        <w:pStyle w:val="ListBullet"/>
        <w:spacing w:after="40"/>
      </w:pPr>
      <w:r>
        <w:rPr>
          <w:rFonts w:ascii="Times New Roman" w:hAnsi="Times New Roman" w:cs="Times New Roman" w:eastAsia="Times New Roman"/>
          <w:b w:val="0"/>
          <w:i w:val="0"/>
          <w:sz w:val="24"/>
        </w:rPr>
        <w:t>Packaging and grading efficiency at the orchard and post-harvest stage</w:t>
      </w:r>
    </w:p>
    <w:p>
      <w:pPr>
        <w:pStyle w:val="ListBullet"/>
        <w:spacing w:after="40"/>
      </w:pPr>
      <w:r>
        <w:rPr>
          <w:rFonts w:ascii="Times New Roman" w:hAnsi="Times New Roman" w:cs="Times New Roman" w:eastAsia="Times New Roman"/>
          <w:b w:val="0"/>
          <w:i w:val="0"/>
          <w:sz w:val="24"/>
        </w:rPr>
        <w:t>Transportation cost, fuel cost and toll-related charges</w:t>
      </w:r>
    </w:p>
    <w:p>
      <w:pPr>
        <w:pStyle w:val="ListBullet"/>
        <w:spacing w:after="40"/>
      </w:pPr>
      <w:r>
        <w:rPr>
          <w:rFonts w:ascii="Times New Roman" w:hAnsi="Times New Roman" w:cs="Times New Roman" w:eastAsia="Times New Roman"/>
          <w:b w:val="0"/>
          <w:i w:val="0"/>
          <w:sz w:val="24"/>
        </w:rPr>
        <w:t>Storage and warehousing facilities (capacity, ventilation, temperature)</w:t>
      </w:r>
    </w:p>
    <w:p>
      <w:pPr>
        <w:pStyle w:val="ListBullet"/>
        <w:spacing w:after="40"/>
      </w:pPr>
      <w:r>
        <w:rPr>
          <w:rFonts w:ascii="Times New Roman" w:hAnsi="Times New Roman" w:cs="Times New Roman" w:eastAsia="Times New Roman"/>
          <w:b w:val="0"/>
          <w:i w:val="0"/>
          <w:sz w:val="24"/>
        </w:rPr>
        <w:t>Loading and unloading efficiency at every transfer point</w:t>
      </w:r>
    </w:p>
    <w:p>
      <w:pPr>
        <w:pStyle w:val="ListBullet"/>
        <w:spacing w:after="40"/>
      </w:pPr>
      <w:r>
        <w:rPr>
          <w:rFonts w:ascii="Times New Roman" w:hAnsi="Times New Roman" w:cs="Times New Roman" w:eastAsia="Times New Roman"/>
          <w:b w:val="0"/>
          <w:i w:val="0"/>
          <w:sz w:val="24"/>
        </w:rPr>
        <w:t>Transit time and waiting time across the channel</w:t>
      </w:r>
    </w:p>
    <w:p>
      <w:pPr>
        <w:pStyle w:val="ListBullet"/>
        <w:spacing w:after="40"/>
      </w:pPr>
      <w:r>
        <w:rPr>
          <w:rFonts w:ascii="Times New Roman" w:hAnsi="Times New Roman" w:cs="Times New Roman" w:eastAsia="Times New Roman"/>
          <w:b w:val="0"/>
          <w:i w:val="0"/>
          <w:sz w:val="24"/>
        </w:rPr>
        <w:t>Product handling practices and bruising during transit</w:t>
      </w:r>
    </w:p>
    <w:p>
      <w:pPr>
        <w:pStyle w:val="ListBullet"/>
        <w:spacing w:after="40"/>
      </w:pPr>
      <w:r>
        <w:rPr>
          <w:rFonts w:ascii="Times New Roman" w:hAnsi="Times New Roman" w:cs="Times New Roman" w:eastAsia="Times New Roman"/>
          <w:b w:val="0"/>
          <w:i w:val="0"/>
          <w:sz w:val="24"/>
        </w:rPr>
        <w:t>Market accessibility from hill orchards to the plains mandis</w:t>
      </w:r>
    </w:p>
    <w:p>
      <w:pPr>
        <w:pStyle w:val="ListBullet"/>
        <w:spacing w:after="40"/>
      </w:pPr>
      <w:r>
        <w:rPr>
          <w:rFonts w:ascii="Times New Roman" w:hAnsi="Times New Roman" w:cs="Times New Roman" w:eastAsia="Times New Roman"/>
          <w:b w:val="0"/>
          <w:i w:val="0"/>
          <w:sz w:val="24"/>
        </w:rPr>
        <w:t>Commission and intermediary charges at mandi level</w:t>
      </w:r>
    </w:p>
    <w:p>
      <w:pPr>
        <w:pStyle w:val="ListBullet"/>
        <w:spacing w:after="40"/>
      </w:pPr>
      <w:r>
        <w:rPr>
          <w:rFonts w:ascii="Times New Roman" w:hAnsi="Times New Roman" w:cs="Times New Roman" w:eastAsia="Times New Roman"/>
          <w:b w:val="0"/>
          <w:i w:val="0"/>
          <w:sz w:val="24"/>
        </w:rPr>
        <w:t>Retail infrastructure, display practice and customer demand</w:t>
      </w:r>
    </w:p>
    <w:p>
      <w:pPr>
        <w:pStyle w:val="ListBullet"/>
        <w:spacing w:after="40"/>
      </w:pPr>
      <w:r>
        <w:rPr>
          <w:rFonts w:ascii="Times New Roman" w:hAnsi="Times New Roman" w:cs="Times New Roman" w:eastAsia="Times New Roman"/>
          <w:b w:val="0"/>
          <w:i w:val="0"/>
          <w:sz w:val="24"/>
        </w:rPr>
        <w:t>Vehicle availability and temperature-control capability</w:t>
      </w:r>
    </w:p>
    <w:p>
      <w:pPr>
        <w:pStyle w:val="ListBullet"/>
        <w:spacing w:after="40"/>
      </w:pPr>
      <w:r>
        <w:rPr>
          <w:rFonts w:ascii="Times New Roman" w:hAnsi="Times New Roman" w:cs="Times New Roman" w:eastAsia="Times New Roman"/>
          <w:b w:val="0"/>
          <w:i w:val="0"/>
          <w:sz w:val="24"/>
        </w:rPr>
        <w:t>Post-harvest handling and quality maintenance over the channel</w:t>
      </w:r>
    </w:p>
    <w:p>
      <w:pPr>
        <w:keepNext/>
        <w:spacing w:before="280" w:after="160"/>
      </w:pPr>
      <w:r>
        <w:rPr>
          <w:rFonts w:ascii="Times New Roman" w:hAnsi="Times New Roman" w:cs="Times New Roman" w:eastAsia="Times New Roman"/>
          <w:b/>
          <w:i w:val="0"/>
          <w:sz w:val="28"/>
        </w:rPr>
        <w:t>3.6  Overall Methodology Framework</w:t>
      </w:r>
    </w:p>
    <w:p>
      <w:pPr>
        <w:spacing w:after="120" w:line="360" w:lineRule="auto"/>
        <w:ind w:firstLine="283"/>
        <w:jc w:val="both"/>
      </w:pPr>
      <w:r>
        <w:rPr>
          <w:rFonts w:ascii="Times New Roman" w:hAnsi="Times New Roman" w:cs="Times New Roman" w:eastAsia="Times New Roman"/>
          <w:b w:val="0"/>
          <w:i w:val="0"/>
          <w:sz w:val="24"/>
        </w:rPr>
        <w:t>Figure 3.4 lays out the overall framework of the methodology — showing how the inputs (literature, experts, pilot, field observation) feed into the candidate factor pool, how screening produces the finalised 82 factors, how the cross-sectional survey is administered to the 1,300 respondents, and how the two MCDM tools are connected. This single diagram is the navigation map for the rest of the chapter.</w:t>
      </w:r>
    </w:p>
    <w:p>
      <w:pPr>
        <w:jc w:val="center"/>
      </w:pPr>
      <w:r>
        <w:drawing>
          <wp:inline xmlns:a="http://schemas.openxmlformats.org/drawingml/2006/main" xmlns:pic="http://schemas.openxmlformats.org/drawingml/2006/picture">
            <wp:extent cx="5943600" cy="4144602"/>
            <wp:docPr id="4" name="Picture 4"/>
            <wp:cNvGraphicFramePr>
              <a:graphicFrameLocks noChangeAspect="1"/>
            </wp:cNvGraphicFramePr>
            <a:graphic>
              <a:graphicData uri="http://schemas.openxmlformats.org/drawingml/2006/picture">
                <pic:pic>
                  <pic:nvPicPr>
                    <pic:cNvPr id="0" name="framework_chapter3.png"/>
                    <pic:cNvPicPr/>
                  </pic:nvPicPr>
                  <pic:blipFill>
                    <a:blip r:embed="rId12"/>
                    <a:stretch>
                      <a:fillRect/>
                    </a:stretch>
                  </pic:blipFill>
                  <pic:spPr>
                    <a:xfrm>
                      <a:off x="0" y="0"/>
                      <a:ext cx="5943600" cy="4144602"/>
                    </a:xfrm>
                    <a:prstGeom prst="rect"/>
                  </pic:spPr>
                </pic:pic>
              </a:graphicData>
            </a:graphic>
          </wp:inline>
        </w:drawing>
      </w:r>
    </w:p>
    <w:p>
      <w:pPr>
        <w:spacing w:before="160" w:after="80"/>
        <w:jc w:val="center"/>
      </w:pPr>
      <w:r>
        <w:rPr>
          <w:rFonts w:ascii="Times New Roman" w:hAnsi="Times New Roman" w:cs="Times New Roman" w:eastAsia="Times New Roman"/>
          <w:b/>
          <w:i w:val="0"/>
          <w:sz w:val="22"/>
        </w:rPr>
        <w:t>Figure 3.4: Overall Methodology Framework</w:t>
      </w:r>
    </w:p>
    <w:p>
      <w:pPr>
        <w:keepNext/>
        <w:spacing w:before="280" w:after="160"/>
      </w:pPr>
      <w:r>
        <w:rPr>
          <w:rFonts w:ascii="Times New Roman" w:hAnsi="Times New Roman" w:cs="Times New Roman" w:eastAsia="Times New Roman"/>
          <w:b/>
          <w:i w:val="0"/>
          <w:sz w:val="28"/>
        </w:rPr>
        <w:t>3.7  Justification of the Sample Size for MCDM Methods</w:t>
      </w:r>
    </w:p>
    <w:p>
      <w:pPr>
        <w:spacing w:after="120" w:line="360" w:lineRule="auto"/>
        <w:ind w:firstLine="283"/>
        <w:jc w:val="both"/>
      </w:pPr>
      <w:r>
        <w:rPr>
          <w:rFonts w:ascii="Times New Roman" w:hAnsi="Times New Roman" w:cs="Times New Roman" w:eastAsia="Times New Roman"/>
          <w:b w:val="0"/>
          <w:i w:val="0"/>
          <w:sz w:val="24"/>
        </w:rPr>
        <w:t>MCDM methods such as Fuzzy AHP and ELECTRE are usually run with small expert panels of five to thirty decision makers. Saaty (1980, 2008) in fact built AHP around exactly that small-panel logic and recommended geometric-mean aggregation of pairwise comparisons. Why, then, has the present study gone all the way up to 1,300 respondents? The answer is that the study is not a pure expert-panel MCDM exercise; it is an empirical, stakeholder-aggregated MCDM exercise running across a real-world supply chain. In this kind of configuration a larger sample is not an indulgence — it is what makes the weights and the outranking robust. Five specific arguments are set out below.</w:t>
      </w:r>
    </w:p>
    <w:p>
      <w:pPr>
        <w:keepNext/>
        <w:spacing w:before="160" w:after="80"/>
      </w:pPr>
      <w:r>
        <w:rPr>
          <w:rFonts w:ascii="Times New Roman" w:hAnsi="Times New Roman" w:cs="Times New Roman" w:eastAsia="Times New Roman"/>
          <w:b/>
          <w:i/>
          <w:sz w:val="24"/>
        </w:rPr>
        <w:t>3.7.1  Aggregation Stability</w:t>
      </w:r>
    </w:p>
    <w:p>
      <w:pPr>
        <w:spacing w:after="120" w:line="360" w:lineRule="auto"/>
        <w:ind w:firstLine="283"/>
        <w:jc w:val="both"/>
      </w:pPr>
      <w:r>
        <w:rPr>
          <w:rFonts w:ascii="Times New Roman" w:hAnsi="Times New Roman" w:cs="Times New Roman" w:eastAsia="Times New Roman"/>
          <w:b w:val="0"/>
          <w:i w:val="0"/>
          <w:sz w:val="24"/>
        </w:rPr>
        <w:t>When pairwise comparisons are aggregated across respondents using the geometric mean — the standard aggregation operator in AHP and Fuzzy AHP — the aggregated matrix converges to its long-run mean as the number of respondents grows (Forman and Peniwati, 1998). Empirical work suggests that beyond about thirty respondents per stakeholder group the change in aggregated weights becomes negligible. The smallest stakeholder group in this study (Experts / Officials) has 65 respondents and the largest (Farmers) has 650, so aggregation stability is comfortably achieved for every group.</w:t>
      </w:r>
    </w:p>
    <w:p>
      <w:pPr>
        <w:keepNext/>
        <w:spacing w:before="160" w:after="80"/>
      </w:pPr>
      <w:r>
        <w:rPr>
          <w:rFonts w:ascii="Times New Roman" w:hAnsi="Times New Roman" w:cs="Times New Roman" w:eastAsia="Times New Roman"/>
          <w:b/>
          <w:i/>
          <w:sz w:val="24"/>
        </w:rPr>
        <w:t>3.7.2  Statistical Adequacy</w:t>
      </w:r>
    </w:p>
    <w:p>
      <w:pPr>
        <w:spacing w:after="120" w:line="360" w:lineRule="auto"/>
        <w:ind w:firstLine="283"/>
        <w:jc w:val="both"/>
      </w:pPr>
      <w:r>
        <w:rPr>
          <w:rFonts w:ascii="Times New Roman" w:hAnsi="Times New Roman" w:cs="Times New Roman" w:eastAsia="Times New Roman"/>
          <w:b w:val="0"/>
          <w:i w:val="0"/>
          <w:sz w:val="24"/>
        </w:rPr>
        <w:t>Although MCDM does not impose a parametric sample-size rule of its own, the demographic and rating components of the questionnaire can be treated as a population-estimation problem. Cochran's (1977) formula for an infinite population, at a 95 per cent confidence level and a 5 per cent margin of error, recommends a minimum sample of 384. The 1,300 sample exceeds this minimum by a factor of more than three and brings the margin of error down to roughly 2.7 per cent at the 95 per cent confidence level.</w:t>
      </w:r>
    </w:p>
    <w:p>
      <w:pPr>
        <w:keepNext/>
        <w:spacing w:before="160" w:after="80"/>
      </w:pPr>
      <w:r>
        <w:rPr>
          <w:rFonts w:ascii="Times New Roman" w:hAnsi="Times New Roman" w:cs="Times New Roman" w:eastAsia="Times New Roman"/>
          <w:b/>
          <w:i/>
          <w:sz w:val="24"/>
        </w:rPr>
        <w:t>3.7.3  Stakeholder Representativeness</w:t>
      </w:r>
    </w:p>
    <w:p>
      <w:pPr>
        <w:spacing w:after="120" w:line="360" w:lineRule="auto"/>
        <w:ind w:firstLine="283"/>
        <w:jc w:val="both"/>
      </w:pPr>
      <w:r>
        <w:rPr>
          <w:rFonts w:ascii="Times New Roman" w:hAnsi="Times New Roman" w:cs="Times New Roman" w:eastAsia="Times New Roman"/>
          <w:b w:val="0"/>
          <w:i w:val="0"/>
          <w:sz w:val="24"/>
        </w:rPr>
        <w:t>The Malta channel involves seven heterogeneous stakeholder groups, and a credible MCDM application has to treat each group as a distinct sub-sample so that group-specific weight vectors can be aggregated into a channel-level weight vector (Dong et al., 2010). The achieved sample provides between 65 and 650 respondents per group, which keeps every group above the 30-respondent stability threshold and preserves the relative weight of each group in the channel.</w:t>
      </w:r>
    </w:p>
    <w:p>
      <w:pPr>
        <w:keepNext/>
        <w:spacing w:before="160" w:after="80"/>
      </w:pPr>
      <w:r>
        <w:rPr>
          <w:rFonts w:ascii="Times New Roman" w:hAnsi="Times New Roman" w:cs="Times New Roman" w:eastAsia="Times New Roman"/>
          <w:b/>
          <w:i/>
          <w:sz w:val="24"/>
        </w:rPr>
        <w:t>3.7.4  Geographical Coverage</w:t>
      </w:r>
    </w:p>
    <w:p>
      <w:pPr>
        <w:spacing w:after="120" w:line="360" w:lineRule="auto"/>
        <w:ind w:firstLine="283"/>
        <w:jc w:val="both"/>
      </w:pPr>
      <w:r>
        <w:rPr>
          <w:rFonts w:ascii="Times New Roman" w:hAnsi="Times New Roman" w:cs="Times New Roman" w:eastAsia="Times New Roman"/>
          <w:b w:val="0"/>
          <w:i w:val="0"/>
          <w:sz w:val="24"/>
        </w:rPr>
        <w:t>The four Garhwal districts together carry the bulk of Malta cultivation in Uttarakhand, and the achieved district-wise distribution is balanced (between 23.9 and 26.2 per cent per district). That balance heads off the geographical-bias problem that single-district MCDM studies often have to live with.</w:t>
      </w:r>
    </w:p>
    <w:p>
      <w:pPr>
        <w:keepNext/>
        <w:spacing w:before="160" w:after="80"/>
      </w:pPr>
      <w:r>
        <w:rPr>
          <w:rFonts w:ascii="Times New Roman" w:hAnsi="Times New Roman" w:cs="Times New Roman" w:eastAsia="Times New Roman"/>
          <w:b/>
          <w:i/>
          <w:sz w:val="24"/>
        </w:rPr>
        <w:t>3.7.5  Robustness for ELECTRE Outranking</w:t>
      </w:r>
    </w:p>
    <w:p>
      <w:pPr>
        <w:spacing w:after="120" w:line="360" w:lineRule="auto"/>
        <w:ind w:firstLine="283"/>
        <w:jc w:val="both"/>
      </w:pPr>
      <w:r>
        <w:rPr>
          <w:rFonts w:ascii="Times New Roman" w:hAnsi="Times New Roman" w:cs="Times New Roman" w:eastAsia="Times New Roman"/>
          <w:b w:val="0"/>
          <w:i w:val="0"/>
          <w:sz w:val="24"/>
        </w:rPr>
        <w:t>ELECTRE is an outranking method whose concordance and discordance indices are computed from the decision matrix of alternatives and criteria. The performance scores in that decision matrix are themselves the sample means of stakeholder ratings on each criterion. A larger sample reduces the standard error of these means and therefore reduces the sensitivity of the concordance and discordance thresholds to outlier ratings (Roy and Bouyssou, 1993; Figueira et al., 2005). A sample of 1,300 yields standard errors of the order of 0.03 on a five-point scale, well below the differences between alternatives, which is what an outranking study needs.</w:t>
      </w:r>
    </w:p>
    <w:p>
      <w:pPr>
        <w:keepNext/>
        <w:spacing w:before="280" w:after="160"/>
      </w:pPr>
      <w:r>
        <w:rPr>
          <w:rFonts w:ascii="Times New Roman" w:hAnsi="Times New Roman" w:cs="Times New Roman" w:eastAsia="Times New Roman"/>
          <w:b/>
          <w:i w:val="0"/>
          <w:sz w:val="28"/>
        </w:rPr>
        <w:t>3.8  Tools of Analysis</w:t>
      </w:r>
    </w:p>
    <w:p>
      <w:pPr>
        <w:spacing w:after="120" w:line="360" w:lineRule="auto"/>
        <w:ind w:firstLine="283"/>
        <w:jc w:val="both"/>
      </w:pPr>
      <w:r>
        <w:rPr>
          <w:rFonts w:ascii="Times New Roman" w:hAnsi="Times New Roman" w:cs="Times New Roman" w:eastAsia="Times New Roman"/>
          <w:b w:val="0"/>
          <w:i w:val="0"/>
          <w:sz w:val="24"/>
        </w:rPr>
        <w:t>Only two tools were used for analysis: Fuzzy AHP and ELECTRE. No other MCDM technique, no regression, no SEM, no machine-learning model. The two tools were chosen because each does one job well, and because the output of one is precisely the input the other needs. Fuzzy AHP is used to determine the relative importance of the 82 factors under the linguistic vagueness that real respondents bring to a survey. ELECTRE then takes those weights and uses them to rank the alternative configurations of the Malta distribution channel.</w:t>
      </w:r>
    </w:p>
    <w:p>
      <w:pPr>
        <w:keepNext/>
        <w:spacing w:before="160" w:after="80"/>
      </w:pPr>
      <w:r>
        <w:rPr>
          <w:rFonts w:ascii="Times New Roman" w:hAnsi="Times New Roman" w:cs="Times New Roman" w:eastAsia="Times New Roman"/>
          <w:b/>
          <w:i/>
          <w:sz w:val="24"/>
        </w:rPr>
        <w:t>3.8.1  Fuzzy Analytic Hierarchy Process (Fuzzy AHP)</w:t>
      </w:r>
    </w:p>
    <w:p>
      <w:pPr>
        <w:spacing w:after="120" w:line="360" w:lineRule="auto"/>
        <w:ind w:firstLine="283"/>
        <w:jc w:val="both"/>
      </w:pPr>
      <w:r>
        <w:rPr>
          <w:rFonts w:ascii="Times New Roman" w:hAnsi="Times New Roman" w:cs="Times New Roman" w:eastAsia="Times New Roman"/>
          <w:b w:val="0"/>
          <w:i w:val="0"/>
          <w:sz w:val="24"/>
        </w:rPr>
        <w:t>Fuzzy AHP extends Saaty's classical AHP (Saaty, 1980) by replacing crisp pairwise comparisons with Triangular Fuzzy Numbers (TFNs) of the form (l, m, u). The use of TFNs captures the linguistic vagueness that is inherent in human judgement and is particularly useful with stakeholder respondents whose expertise is experiential rather than numerical. The procedure adopted here follows the extent-analysis approach of Chang (1996), which is the most widely applied Fuzzy AHP procedure in the supply-chain literature.</w:t>
      </w:r>
    </w:p>
    <w:p>
      <w:pPr>
        <w:spacing w:after="120" w:line="360" w:lineRule="auto"/>
        <w:ind w:firstLine="283"/>
        <w:jc w:val="both"/>
      </w:pPr>
      <w:r>
        <w:rPr>
          <w:rFonts w:ascii="Times New Roman" w:hAnsi="Times New Roman" w:cs="Times New Roman" w:eastAsia="Times New Roman"/>
          <w:b w:val="0"/>
          <w:i w:val="0"/>
          <w:sz w:val="24"/>
        </w:rPr>
        <w:t>The procedural steps used in this study are as follows.</w:t>
      </w:r>
    </w:p>
    <w:p>
      <w:pPr>
        <w:pStyle w:val="ListNumber"/>
        <w:spacing w:after="40"/>
      </w:pPr>
      <w:r>
        <w:rPr>
          <w:rFonts w:ascii="Times New Roman" w:hAnsi="Times New Roman" w:cs="Times New Roman" w:eastAsia="Times New Roman"/>
          <w:b w:val="0"/>
          <w:i w:val="0"/>
          <w:sz w:val="24"/>
        </w:rPr>
        <w:t>Build the hierarchy. The decision goal — selection of the optimal Malta distribution channel — sits at the top, followed by the criteria, the sub-criteria and the channel alternatives.</w:t>
      </w:r>
    </w:p>
    <w:p>
      <w:pPr>
        <w:pStyle w:val="ListNumber"/>
        <w:spacing w:after="40"/>
      </w:pPr>
      <w:r>
        <w:rPr>
          <w:rFonts w:ascii="Times New Roman" w:hAnsi="Times New Roman" w:cs="Times New Roman" w:eastAsia="Times New Roman"/>
          <w:b w:val="0"/>
          <w:i w:val="0"/>
          <w:sz w:val="24"/>
        </w:rPr>
        <w:t>Elicit pairwise comparisons from respondents on the nine-point linguistic scale shown in Table 3.5.</w:t>
      </w:r>
    </w:p>
    <w:p>
      <w:pPr>
        <w:pStyle w:val="ListNumber"/>
        <w:spacing w:after="40"/>
      </w:pPr>
      <w:r>
        <w:rPr>
          <w:rFonts w:ascii="Times New Roman" w:hAnsi="Times New Roman" w:cs="Times New Roman" w:eastAsia="Times New Roman"/>
          <w:b w:val="0"/>
          <w:i w:val="0"/>
          <w:sz w:val="24"/>
        </w:rPr>
        <w:t>Convert each linguistic judgement into its corresponding TFN (l, m, u).</w:t>
      </w:r>
    </w:p>
    <w:p>
      <w:pPr>
        <w:pStyle w:val="ListNumber"/>
        <w:spacing w:after="40"/>
      </w:pPr>
      <w:r>
        <w:rPr>
          <w:rFonts w:ascii="Times New Roman" w:hAnsi="Times New Roman" w:cs="Times New Roman" w:eastAsia="Times New Roman"/>
          <w:b w:val="0"/>
          <w:i w:val="0"/>
          <w:sz w:val="24"/>
        </w:rPr>
        <w:t>Aggregate responses across respondents via the fuzzy geometric mean, yielding a single fuzzy comparison matrix per stakeholder group.</w:t>
      </w:r>
    </w:p>
    <w:p>
      <w:pPr>
        <w:pStyle w:val="ListNumber"/>
        <w:spacing w:after="40"/>
      </w:pPr>
      <w:r>
        <w:rPr>
          <w:rFonts w:ascii="Times New Roman" w:hAnsi="Times New Roman" w:cs="Times New Roman" w:eastAsia="Times New Roman"/>
          <w:b w:val="0"/>
          <w:i w:val="0"/>
          <w:sz w:val="24"/>
        </w:rPr>
        <w:t>Compute the fuzzy synthetic extent value Si for each criterion as Si = Σ_j M(g, ij) ⊗ [Σ_i Σ_j M(g, ij)]^(-1).</w:t>
      </w:r>
    </w:p>
    <w:p>
      <w:pPr>
        <w:pStyle w:val="ListNumber"/>
        <w:spacing w:after="40"/>
      </w:pPr>
      <w:r>
        <w:rPr>
          <w:rFonts w:ascii="Times New Roman" w:hAnsi="Times New Roman" w:cs="Times New Roman" w:eastAsia="Times New Roman"/>
          <w:b w:val="0"/>
          <w:i w:val="0"/>
          <w:sz w:val="24"/>
        </w:rPr>
        <w:t>Compute the degree of possibility V(M2 ≥ M1) for every pair of fuzzy synthetic extents and derive the non-normalised priority vector W'.</w:t>
      </w:r>
    </w:p>
    <w:p>
      <w:pPr>
        <w:pStyle w:val="ListNumber"/>
        <w:spacing w:after="40"/>
      </w:pPr>
      <w:r>
        <w:rPr>
          <w:rFonts w:ascii="Times New Roman" w:hAnsi="Times New Roman" w:cs="Times New Roman" w:eastAsia="Times New Roman"/>
          <w:b w:val="0"/>
          <w:i w:val="0"/>
          <w:sz w:val="24"/>
        </w:rPr>
        <w:t>Defuzzify each TFN by the Centre-of-Area (CoA) method, normalise, and obtain the final criterion weights w_j with Σ w_j = 1.</w:t>
      </w:r>
    </w:p>
    <w:p>
      <w:pPr>
        <w:pStyle w:val="ListNumber"/>
        <w:spacing w:after="40"/>
      </w:pPr>
      <w:r>
        <w:rPr>
          <w:rFonts w:ascii="Times New Roman" w:hAnsi="Times New Roman" w:cs="Times New Roman" w:eastAsia="Times New Roman"/>
          <w:b w:val="0"/>
          <w:i w:val="0"/>
          <w:sz w:val="24"/>
        </w:rPr>
        <w:t>Compute the Consistency Ratio. A pairwise-comparison matrix is accepted only if CR &lt; 0.10 (Saaty, 1980).</w:t>
      </w:r>
    </w:p>
    <w:p>
      <w:pPr>
        <w:spacing w:before="160" w:after="80"/>
        <w:jc w:val="center"/>
      </w:pPr>
      <w:r>
        <w:rPr>
          <w:rFonts w:ascii="Times New Roman" w:hAnsi="Times New Roman" w:cs="Times New Roman" w:eastAsia="Times New Roman"/>
          <w:b/>
          <w:i w:val="0"/>
          <w:sz w:val="22"/>
        </w:rPr>
        <w:t>Table 3.5: Linguistic Scale and Triangular Fuzzy Numbers used in Fuzzy AHP</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i w:val="0"/>
                <w:sz w:val="22"/>
              </w:rPr>
              <w:t>Linguistic Term</w:t>
            </w:r>
          </w:p>
        </w:tc>
        <w:tc>
          <w:tcPr>
            <w:tcW w:type="dxa" w:w="2280"/>
            <w:shd w:val="clear" w:color="auto" w:fill="D9E1F2"/>
          </w:tcPr>
          <w:p>
            <w:pPr>
              <w:jc w:val="center"/>
            </w:pPr>
            <w:r/>
            <w:r>
              <w:rPr>
                <w:rFonts w:ascii="Times New Roman" w:hAnsi="Times New Roman" w:cs="Times New Roman" w:eastAsia="Times New Roman"/>
                <w:b/>
                <w:i w:val="0"/>
                <w:sz w:val="22"/>
              </w:rPr>
              <w:t>Saaty Scale</w:t>
            </w:r>
          </w:p>
        </w:tc>
        <w:tc>
          <w:tcPr>
            <w:tcW w:type="dxa" w:w="2280"/>
            <w:shd w:val="clear" w:color="auto" w:fill="D9E1F2"/>
          </w:tcPr>
          <w:p>
            <w:pPr>
              <w:jc w:val="center"/>
            </w:pPr>
            <w:r/>
            <w:r>
              <w:rPr>
                <w:rFonts w:ascii="Times New Roman" w:hAnsi="Times New Roman" w:cs="Times New Roman" w:eastAsia="Times New Roman"/>
                <w:b/>
                <w:i w:val="0"/>
                <w:sz w:val="22"/>
              </w:rPr>
              <w:t>Triangular Fuzzy Number (l, m, u)</w:t>
            </w:r>
          </w:p>
        </w:tc>
        <w:tc>
          <w:tcPr>
            <w:tcW w:type="dxa" w:w="2280"/>
            <w:shd w:val="clear" w:color="auto" w:fill="D9E1F2"/>
          </w:tcPr>
          <w:p>
            <w:pPr>
              <w:jc w:val="center"/>
            </w:pPr>
            <w:r/>
            <w:r>
              <w:rPr>
                <w:rFonts w:ascii="Times New Roman" w:hAnsi="Times New Roman" w:cs="Times New Roman" w:eastAsia="Times New Roman"/>
                <w:b/>
                <w:i w:val="0"/>
                <w:sz w:val="22"/>
              </w:rPr>
              <w:t>Reciprocal TFN</w:t>
            </w:r>
          </w:p>
        </w:tc>
      </w:tr>
      <w:tr>
        <w:tc>
          <w:tcPr>
            <w:tcW w:type="dxa" w:w="2280"/>
          </w:tcPr>
          <w:p>
            <w:pPr>
              <w:jc w:val="center"/>
            </w:pPr>
            <w:r/>
            <w:r>
              <w:rPr>
                <w:rFonts w:ascii="Times New Roman" w:hAnsi="Times New Roman" w:cs="Times New Roman" w:eastAsia="Times New Roman"/>
                <w:b w:val="0"/>
                <w:i w:val="0"/>
                <w:sz w:val="22"/>
              </w:rPr>
              <w:t>Equally important</w:t>
            </w:r>
          </w:p>
        </w:tc>
        <w:tc>
          <w:tcPr>
            <w:tcW w:type="dxa" w:w="2280"/>
          </w:tcPr>
          <w:p>
            <w:pPr>
              <w:jc w:val="center"/>
            </w:pPr>
            <w:r/>
            <w:r>
              <w:rPr>
                <w:rFonts w:ascii="Times New Roman" w:hAnsi="Times New Roman" w:cs="Times New Roman" w:eastAsia="Times New Roman"/>
                <w:b w:val="0"/>
                <w:i w:val="0"/>
                <w:sz w:val="22"/>
              </w:rPr>
              <w:t>1</w:t>
            </w:r>
          </w:p>
        </w:tc>
        <w:tc>
          <w:tcPr>
            <w:tcW w:type="dxa" w:w="2280"/>
          </w:tcPr>
          <w:p>
            <w:pPr>
              <w:jc w:val="center"/>
            </w:pPr>
            <w:r/>
            <w:r>
              <w:rPr>
                <w:rFonts w:ascii="Times New Roman" w:hAnsi="Times New Roman" w:cs="Times New Roman" w:eastAsia="Times New Roman"/>
                <w:b w:val="0"/>
                <w:i w:val="0"/>
                <w:sz w:val="22"/>
              </w:rPr>
              <w:t>(1, 1, 1)</w:t>
            </w:r>
          </w:p>
        </w:tc>
        <w:tc>
          <w:tcPr>
            <w:tcW w:type="dxa" w:w="2280"/>
          </w:tcPr>
          <w:p>
            <w:pPr>
              <w:jc w:val="center"/>
            </w:pPr>
            <w:r/>
            <w:r>
              <w:rPr>
                <w:rFonts w:ascii="Times New Roman" w:hAnsi="Times New Roman" w:cs="Times New Roman" w:eastAsia="Times New Roman"/>
                <w:b w:val="0"/>
                <w:i w:val="0"/>
                <w:sz w:val="22"/>
              </w:rPr>
              <w:t>(1, 1, 1)</w:t>
            </w:r>
          </w:p>
        </w:tc>
      </w:tr>
      <w:tr>
        <w:tc>
          <w:tcPr>
            <w:tcW w:type="dxa" w:w="2280"/>
          </w:tcPr>
          <w:p>
            <w:pPr>
              <w:jc w:val="center"/>
            </w:pPr>
            <w:r/>
            <w:r>
              <w:rPr>
                <w:rFonts w:ascii="Times New Roman" w:hAnsi="Times New Roman" w:cs="Times New Roman" w:eastAsia="Times New Roman"/>
                <w:b w:val="0"/>
                <w:i w:val="0"/>
                <w:sz w:val="22"/>
              </w:rPr>
              <w:t>Weakly more important</w:t>
            </w:r>
          </w:p>
        </w:tc>
        <w:tc>
          <w:tcPr>
            <w:tcW w:type="dxa" w:w="2280"/>
          </w:tcPr>
          <w:p>
            <w:pPr>
              <w:jc w:val="center"/>
            </w:pPr>
            <w:r/>
            <w:r>
              <w:rPr>
                <w:rFonts w:ascii="Times New Roman" w:hAnsi="Times New Roman" w:cs="Times New Roman" w:eastAsia="Times New Roman"/>
                <w:b w:val="0"/>
                <w:i w:val="0"/>
                <w:sz w:val="22"/>
              </w:rPr>
              <w:t>3</w:t>
            </w:r>
          </w:p>
        </w:tc>
        <w:tc>
          <w:tcPr>
            <w:tcW w:type="dxa" w:w="2280"/>
          </w:tcPr>
          <w:p>
            <w:pPr>
              <w:jc w:val="center"/>
            </w:pPr>
            <w:r/>
            <w:r>
              <w:rPr>
                <w:rFonts w:ascii="Times New Roman" w:hAnsi="Times New Roman" w:cs="Times New Roman" w:eastAsia="Times New Roman"/>
                <w:b w:val="0"/>
                <w:i w:val="0"/>
                <w:sz w:val="22"/>
              </w:rPr>
              <w:t>(1, 3, 5)</w:t>
            </w:r>
          </w:p>
        </w:tc>
        <w:tc>
          <w:tcPr>
            <w:tcW w:type="dxa" w:w="2280"/>
          </w:tcPr>
          <w:p>
            <w:pPr>
              <w:jc w:val="center"/>
            </w:pPr>
            <w:r/>
            <w:r>
              <w:rPr>
                <w:rFonts w:ascii="Times New Roman" w:hAnsi="Times New Roman" w:cs="Times New Roman" w:eastAsia="Times New Roman"/>
                <w:b w:val="0"/>
                <w:i w:val="0"/>
                <w:sz w:val="22"/>
              </w:rPr>
              <w:t>(1/5, 1/3, 1)</w:t>
            </w:r>
          </w:p>
        </w:tc>
      </w:tr>
      <w:tr>
        <w:tc>
          <w:tcPr>
            <w:tcW w:type="dxa" w:w="2280"/>
          </w:tcPr>
          <w:p>
            <w:pPr>
              <w:jc w:val="center"/>
            </w:pPr>
            <w:r/>
            <w:r>
              <w:rPr>
                <w:rFonts w:ascii="Times New Roman" w:hAnsi="Times New Roman" w:cs="Times New Roman" w:eastAsia="Times New Roman"/>
                <w:b w:val="0"/>
                <w:i w:val="0"/>
                <w:sz w:val="22"/>
              </w:rPr>
              <w:t>Strongly more important</w:t>
            </w:r>
          </w:p>
        </w:tc>
        <w:tc>
          <w:tcPr>
            <w:tcW w:type="dxa" w:w="2280"/>
          </w:tcPr>
          <w:p>
            <w:pPr>
              <w:jc w:val="center"/>
            </w:pPr>
            <w:r/>
            <w:r>
              <w:rPr>
                <w:rFonts w:ascii="Times New Roman" w:hAnsi="Times New Roman" w:cs="Times New Roman" w:eastAsia="Times New Roman"/>
                <w:b w:val="0"/>
                <w:i w:val="0"/>
                <w:sz w:val="22"/>
              </w:rPr>
              <w:t>5</w:t>
            </w:r>
          </w:p>
        </w:tc>
        <w:tc>
          <w:tcPr>
            <w:tcW w:type="dxa" w:w="2280"/>
          </w:tcPr>
          <w:p>
            <w:pPr>
              <w:jc w:val="center"/>
            </w:pPr>
            <w:r/>
            <w:r>
              <w:rPr>
                <w:rFonts w:ascii="Times New Roman" w:hAnsi="Times New Roman" w:cs="Times New Roman" w:eastAsia="Times New Roman"/>
                <w:b w:val="0"/>
                <w:i w:val="0"/>
                <w:sz w:val="22"/>
              </w:rPr>
              <w:t>(3, 5, 7)</w:t>
            </w:r>
          </w:p>
        </w:tc>
        <w:tc>
          <w:tcPr>
            <w:tcW w:type="dxa" w:w="2280"/>
          </w:tcPr>
          <w:p>
            <w:pPr>
              <w:jc w:val="center"/>
            </w:pPr>
            <w:r/>
            <w:r>
              <w:rPr>
                <w:rFonts w:ascii="Times New Roman" w:hAnsi="Times New Roman" w:cs="Times New Roman" w:eastAsia="Times New Roman"/>
                <w:b w:val="0"/>
                <w:i w:val="0"/>
                <w:sz w:val="22"/>
              </w:rPr>
              <w:t>(1/7, 1/5, 1/3)</w:t>
            </w:r>
          </w:p>
        </w:tc>
      </w:tr>
      <w:tr>
        <w:tc>
          <w:tcPr>
            <w:tcW w:type="dxa" w:w="2280"/>
          </w:tcPr>
          <w:p>
            <w:pPr>
              <w:jc w:val="center"/>
            </w:pPr>
            <w:r/>
            <w:r>
              <w:rPr>
                <w:rFonts w:ascii="Times New Roman" w:hAnsi="Times New Roman" w:cs="Times New Roman" w:eastAsia="Times New Roman"/>
                <w:b w:val="0"/>
                <w:i w:val="0"/>
                <w:sz w:val="22"/>
              </w:rPr>
              <w:t>Very strongly more important</w:t>
            </w:r>
          </w:p>
        </w:tc>
        <w:tc>
          <w:tcPr>
            <w:tcW w:type="dxa" w:w="2280"/>
          </w:tcPr>
          <w:p>
            <w:pPr>
              <w:jc w:val="center"/>
            </w:pPr>
            <w:r/>
            <w:r>
              <w:rPr>
                <w:rFonts w:ascii="Times New Roman" w:hAnsi="Times New Roman" w:cs="Times New Roman" w:eastAsia="Times New Roman"/>
                <w:b w:val="0"/>
                <w:i w:val="0"/>
                <w:sz w:val="22"/>
              </w:rPr>
              <w:t>7</w:t>
            </w:r>
          </w:p>
        </w:tc>
        <w:tc>
          <w:tcPr>
            <w:tcW w:type="dxa" w:w="2280"/>
          </w:tcPr>
          <w:p>
            <w:pPr>
              <w:jc w:val="center"/>
            </w:pPr>
            <w:r/>
            <w:r>
              <w:rPr>
                <w:rFonts w:ascii="Times New Roman" w:hAnsi="Times New Roman" w:cs="Times New Roman" w:eastAsia="Times New Roman"/>
                <w:b w:val="0"/>
                <w:i w:val="0"/>
                <w:sz w:val="22"/>
              </w:rPr>
              <w:t>(5, 7, 9)</w:t>
            </w:r>
          </w:p>
        </w:tc>
        <w:tc>
          <w:tcPr>
            <w:tcW w:type="dxa" w:w="2280"/>
          </w:tcPr>
          <w:p>
            <w:pPr>
              <w:jc w:val="center"/>
            </w:pPr>
            <w:r/>
            <w:r>
              <w:rPr>
                <w:rFonts w:ascii="Times New Roman" w:hAnsi="Times New Roman" w:cs="Times New Roman" w:eastAsia="Times New Roman"/>
                <w:b w:val="0"/>
                <w:i w:val="0"/>
                <w:sz w:val="22"/>
              </w:rPr>
              <w:t>(1/9, 1/7, 1/5)</w:t>
            </w:r>
          </w:p>
        </w:tc>
      </w:tr>
      <w:tr>
        <w:tc>
          <w:tcPr>
            <w:tcW w:type="dxa" w:w="2280"/>
          </w:tcPr>
          <w:p>
            <w:pPr>
              <w:jc w:val="center"/>
            </w:pPr>
            <w:r/>
            <w:r>
              <w:rPr>
                <w:rFonts w:ascii="Times New Roman" w:hAnsi="Times New Roman" w:cs="Times New Roman" w:eastAsia="Times New Roman"/>
                <w:b w:val="0"/>
                <w:i w:val="0"/>
                <w:sz w:val="22"/>
              </w:rPr>
              <w:t>Extremely / Absolutely more important</w:t>
            </w:r>
          </w:p>
        </w:tc>
        <w:tc>
          <w:tcPr>
            <w:tcW w:type="dxa" w:w="2280"/>
          </w:tcPr>
          <w:p>
            <w:pPr>
              <w:jc w:val="center"/>
            </w:pPr>
            <w:r/>
            <w:r>
              <w:rPr>
                <w:rFonts w:ascii="Times New Roman" w:hAnsi="Times New Roman" w:cs="Times New Roman" w:eastAsia="Times New Roman"/>
                <w:b w:val="0"/>
                <w:i w:val="0"/>
                <w:sz w:val="22"/>
              </w:rPr>
              <w:t>9</w:t>
            </w:r>
          </w:p>
        </w:tc>
        <w:tc>
          <w:tcPr>
            <w:tcW w:type="dxa" w:w="2280"/>
          </w:tcPr>
          <w:p>
            <w:pPr>
              <w:jc w:val="center"/>
            </w:pPr>
            <w:r/>
            <w:r>
              <w:rPr>
                <w:rFonts w:ascii="Times New Roman" w:hAnsi="Times New Roman" w:cs="Times New Roman" w:eastAsia="Times New Roman"/>
                <w:b w:val="0"/>
                <w:i w:val="0"/>
                <w:sz w:val="22"/>
              </w:rPr>
              <w:t>(7, 9, 9)</w:t>
            </w:r>
          </w:p>
        </w:tc>
        <w:tc>
          <w:tcPr>
            <w:tcW w:type="dxa" w:w="2280"/>
          </w:tcPr>
          <w:p>
            <w:pPr>
              <w:jc w:val="center"/>
            </w:pPr>
            <w:r/>
            <w:r>
              <w:rPr>
                <w:rFonts w:ascii="Times New Roman" w:hAnsi="Times New Roman" w:cs="Times New Roman" w:eastAsia="Times New Roman"/>
                <w:b w:val="0"/>
                <w:i w:val="0"/>
                <w:sz w:val="22"/>
              </w:rPr>
              <w:t>(1/9, 1/9, 1/7)</w:t>
            </w:r>
          </w:p>
        </w:tc>
      </w:tr>
      <w:tr>
        <w:tc>
          <w:tcPr>
            <w:tcW w:type="dxa" w:w="2280"/>
          </w:tcPr>
          <w:p>
            <w:pPr>
              <w:jc w:val="center"/>
            </w:pPr>
            <w:r/>
            <w:r>
              <w:rPr>
                <w:rFonts w:ascii="Times New Roman" w:hAnsi="Times New Roman" w:cs="Times New Roman" w:eastAsia="Times New Roman"/>
                <w:b w:val="0"/>
                <w:i w:val="0"/>
                <w:sz w:val="22"/>
              </w:rPr>
              <w:t>Intermediate values</w:t>
            </w:r>
          </w:p>
        </w:tc>
        <w:tc>
          <w:tcPr>
            <w:tcW w:type="dxa" w:w="2280"/>
          </w:tcPr>
          <w:p>
            <w:pPr>
              <w:jc w:val="center"/>
            </w:pPr>
            <w:r/>
            <w:r>
              <w:rPr>
                <w:rFonts w:ascii="Times New Roman" w:hAnsi="Times New Roman" w:cs="Times New Roman" w:eastAsia="Times New Roman"/>
                <w:b w:val="0"/>
                <w:i w:val="0"/>
                <w:sz w:val="22"/>
              </w:rPr>
              <w:t>2, 4, 6, 8</w:t>
            </w:r>
          </w:p>
        </w:tc>
        <w:tc>
          <w:tcPr>
            <w:tcW w:type="dxa" w:w="2280"/>
          </w:tcPr>
          <w:p>
            <w:pPr>
              <w:jc w:val="center"/>
            </w:pPr>
            <w:r/>
            <w:r>
              <w:rPr>
                <w:rFonts w:ascii="Times New Roman" w:hAnsi="Times New Roman" w:cs="Times New Roman" w:eastAsia="Times New Roman"/>
                <w:b w:val="0"/>
                <w:i w:val="0"/>
                <w:sz w:val="22"/>
              </w:rPr>
              <w:t>Linear interpolation</w:t>
            </w:r>
          </w:p>
        </w:tc>
        <w:tc>
          <w:tcPr>
            <w:tcW w:type="dxa" w:w="2280"/>
          </w:tcPr>
          <w:p>
            <w:pPr>
              <w:jc w:val="center"/>
            </w:pPr>
            <w:r/>
            <w:r>
              <w:rPr>
                <w:rFonts w:ascii="Times New Roman" w:hAnsi="Times New Roman" w:cs="Times New Roman" w:eastAsia="Times New Roman"/>
                <w:b w:val="0"/>
                <w:i w:val="0"/>
                <w:sz w:val="22"/>
              </w:rPr>
              <w:t>Reciprocal interpolation</w:t>
            </w:r>
          </w:p>
        </w:tc>
      </w:tr>
    </w:tbl>
    <w:p/>
    <w:p>
      <w:pPr>
        <w:keepNext/>
        <w:spacing w:before="160" w:after="80"/>
      </w:pPr>
      <w:r>
        <w:rPr>
          <w:rFonts w:ascii="Times New Roman" w:hAnsi="Times New Roman" w:cs="Times New Roman" w:eastAsia="Times New Roman"/>
          <w:b/>
          <w:i/>
          <w:sz w:val="24"/>
        </w:rPr>
        <w:t>3.8.2  Elimination and Choice Translating Reality (ELECTRE)</w:t>
      </w:r>
    </w:p>
    <w:p>
      <w:pPr>
        <w:spacing w:after="120" w:line="360" w:lineRule="auto"/>
        <w:ind w:firstLine="283"/>
        <w:jc w:val="both"/>
      </w:pPr>
      <w:r>
        <w:rPr>
          <w:rFonts w:ascii="Times New Roman" w:hAnsi="Times New Roman" w:cs="Times New Roman" w:eastAsia="Times New Roman"/>
          <w:b w:val="0"/>
          <w:i w:val="0"/>
          <w:sz w:val="24"/>
        </w:rPr>
        <w:t>ELECTRE is an outranking MCDM method developed by Roy (1968, 1991). It does not chase a single aggregate score per alternative; instead it builds an outranking relation by asking, for every pair of alternatives, how strong is the case in favour (concordance) and how strong is the case against (discordance). That logic suits the Malta problem because no channel dominates on every criterion — trade-offs have to be evaluated explicitly. The notation used in this study is summarised in Table 3.6.</w:t>
      </w:r>
    </w:p>
    <w:p>
      <w:pPr>
        <w:spacing w:before="160" w:after="80"/>
        <w:jc w:val="center"/>
      </w:pPr>
      <w:r>
        <w:rPr>
          <w:rFonts w:ascii="Times New Roman" w:hAnsi="Times New Roman" w:cs="Times New Roman" w:eastAsia="Times New Roman"/>
          <w:b/>
          <w:i w:val="0"/>
          <w:sz w:val="22"/>
        </w:rPr>
        <w:t>Table 3.6: Notation used in the ELECTRE Procedure</w:t>
      </w:r>
    </w:p>
    <w:tbl>
      <w:tblPr>
        <w:tblStyle w:val="LightGrid-Accent1"/>
        <w:tblW w:type="auto" w:w="0"/>
        <w:tblLook w:firstColumn="1" w:firstRow="1" w:lastColumn="0" w:lastRow="0" w:noHBand="0" w:noVBand="1" w:val="04A0"/>
      </w:tblPr>
      <w:tblGrid>
        <w:gridCol w:w="4561"/>
        <w:gridCol w:w="4561"/>
      </w:tblGrid>
      <w:tr>
        <w:tc>
          <w:tcPr>
            <w:tcW w:type="dxa" w:w="4561"/>
            <w:shd w:val="clear" w:color="auto" w:fill="D9E1F2"/>
          </w:tcPr>
          <w:p>
            <w:pPr>
              <w:jc w:val="center"/>
            </w:pPr>
            <w:r/>
            <w:r>
              <w:rPr>
                <w:rFonts w:ascii="Times New Roman" w:hAnsi="Times New Roman" w:cs="Times New Roman" w:eastAsia="Times New Roman"/>
                <w:b/>
                <w:i w:val="0"/>
                <w:sz w:val="22"/>
              </w:rPr>
              <w:t>Symbol</w:t>
            </w:r>
          </w:p>
        </w:tc>
        <w:tc>
          <w:tcPr>
            <w:tcW w:type="dxa" w:w="4561"/>
            <w:shd w:val="clear" w:color="auto" w:fill="D9E1F2"/>
          </w:tcPr>
          <w:p>
            <w:pPr>
              <w:jc w:val="center"/>
            </w:pPr>
            <w:r/>
            <w:r>
              <w:rPr>
                <w:rFonts w:ascii="Times New Roman" w:hAnsi="Times New Roman" w:cs="Times New Roman" w:eastAsia="Times New Roman"/>
                <w:b/>
                <w:i w:val="0"/>
                <w:sz w:val="22"/>
              </w:rPr>
              <w:t>Meaning</w:t>
            </w:r>
          </w:p>
        </w:tc>
      </w:tr>
      <w:tr>
        <w:tc>
          <w:tcPr>
            <w:tcW w:type="dxa" w:w="4561"/>
          </w:tcPr>
          <w:p>
            <w:pPr>
              <w:jc w:val="center"/>
            </w:pPr>
            <w:r/>
            <w:r>
              <w:rPr>
                <w:rFonts w:ascii="Times New Roman" w:hAnsi="Times New Roman" w:cs="Times New Roman" w:eastAsia="Times New Roman"/>
                <w:b w:val="0"/>
                <w:i w:val="0"/>
                <w:sz w:val="22"/>
              </w:rPr>
              <w:t>A = {a1, …, am}</w:t>
            </w:r>
          </w:p>
        </w:tc>
        <w:tc>
          <w:tcPr>
            <w:tcW w:type="dxa" w:w="4561"/>
          </w:tcPr>
          <w:p>
            <w:pPr>
              <w:jc w:val="center"/>
            </w:pPr>
            <w:r/>
            <w:r>
              <w:rPr>
                <w:rFonts w:ascii="Times New Roman" w:hAnsi="Times New Roman" w:cs="Times New Roman" w:eastAsia="Times New Roman"/>
                <w:b w:val="0"/>
                <w:i w:val="0"/>
                <w:sz w:val="22"/>
              </w:rPr>
              <w:t>Set of distribution-channel alternatives</w:t>
            </w:r>
          </w:p>
        </w:tc>
      </w:tr>
      <w:tr>
        <w:tc>
          <w:tcPr>
            <w:tcW w:type="dxa" w:w="4561"/>
          </w:tcPr>
          <w:p>
            <w:pPr>
              <w:jc w:val="center"/>
            </w:pPr>
            <w:r/>
            <w:r>
              <w:rPr>
                <w:rFonts w:ascii="Times New Roman" w:hAnsi="Times New Roman" w:cs="Times New Roman" w:eastAsia="Times New Roman"/>
                <w:b w:val="0"/>
                <w:i w:val="0"/>
                <w:sz w:val="22"/>
              </w:rPr>
              <w:t>C = {c1, …, cn}</w:t>
            </w:r>
          </w:p>
        </w:tc>
        <w:tc>
          <w:tcPr>
            <w:tcW w:type="dxa" w:w="4561"/>
          </w:tcPr>
          <w:p>
            <w:pPr>
              <w:jc w:val="center"/>
            </w:pPr>
            <w:r/>
            <w:r>
              <w:rPr>
                <w:rFonts w:ascii="Times New Roman" w:hAnsi="Times New Roman" w:cs="Times New Roman" w:eastAsia="Times New Roman"/>
                <w:b w:val="0"/>
                <w:i w:val="0"/>
                <w:sz w:val="22"/>
              </w:rPr>
              <w:t>Set of decision criteria</w:t>
            </w:r>
          </w:p>
        </w:tc>
      </w:tr>
      <w:tr>
        <w:tc>
          <w:tcPr>
            <w:tcW w:type="dxa" w:w="4561"/>
          </w:tcPr>
          <w:p>
            <w:pPr>
              <w:jc w:val="center"/>
            </w:pPr>
            <w:r/>
            <w:r>
              <w:rPr>
                <w:rFonts w:ascii="Times New Roman" w:hAnsi="Times New Roman" w:cs="Times New Roman" w:eastAsia="Times New Roman"/>
                <w:b w:val="0"/>
                <w:i w:val="0"/>
                <w:sz w:val="22"/>
              </w:rPr>
              <w:t>w_j</w:t>
            </w:r>
          </w:p>
        </w:tc>
        <w:tc>
          <w:tcPr>
            <w:tcW w:type="dxa" w:w="4561"/>
          </w:tcPr>
          <w:p>
            <w:pPr>
              <w:jc w:val="center"/>
            </w:pPr>
            <w:r/>
            <w:r>
              <w:rPr>
                <w:rFonts w:ascii="Times New Roman" w:hAnsi="Times New Roman" w:cs="Times New Roman" w:eastAsia="Times New Roman"/>
                <w:b w:val="0"/>
                <w:i w:val="0"/>
                <w:sz w:val="22"/>
              </w:rPr>
              <w:t>Weight of criterion j (taken from Fuzzy AHP, Σ w_j = 1)</w:t>
            </w:r>
          </w:p>
        </w:tc>
      </w:tr>
      <w:tr>
        <w:tc>
          <w:tcPr>
            <w:tcW w:type="dxa" w:w="4561"/>
          </w:tcPr>
          <w:p>
            <w:pPr>
              <w:jc w:val="center"/>
            </w:pPr>
            <w:r/>
            <w:r>
              <w:rPr>
                <w:rFonts w:ascii="Times New Roman" w:hAnsi="Times New Roman" w:cs="Times New Roman" w:eastAsia="Times New Roman"/>
                <w:b w:val="0"/>
                <w:i w:val="0"/>
                <w:sz w:val="22"/>
              </w:rPr>
              <w:t>X = [x_ij]</w:t>
            </w:r>
          </w:p>
        </w:tc>
        <w:tc>
          <w:tcPr>
            <w:tcW w:type="dxa" w:w="4561"/>
          </w:tcPr>
          <w:p>
            <w:pPr>
              <w:jc w:val="center"/>
            </w:pPr>
            <w:r/>
            <w:r>
              <w:rPr>
                <w:rFonts w:ascii="Times New Roman" w:hAnsi="Times New Roman" w:cs="Times New Roman" w:eastAsia="Times New Roman"/>
                <w:b w:val="0"/>
                <w:i w:val="0"/>
                <w:sz w:val="22"/>
              </w:rPr>
              <w:t>Decision matrix; x_ij is the score of alternative i on criterion j</w:t>
            </w:r>
          </w:p>
        </w:tc>
      </w:tr>
      <w:tr>
        <w:tc>
          <w:tcPr>
            <w:tcW w:type="dxa" w:w="4561"/>
          </w:tcPr>
          <w:p>
            <w:pPr>
              <w:jc w:val="center"/>
            </w:pPr>
            <w:r/>
            <w:r>
              <w:rPr>
                <w:rFonts w:ascii="Times New Roman" w:hAnsi="Times New Roman" w:cs="Times New Roman" w:eastAsia="Times New Roman"/>
                <w:b w:val="0"/>
                <w:i w:val="0"/>
                <w:sz w:val="22"/>
              </w:rPr>
              <w:t>R = [r_ij]</w:t>
            </w:r>
          </w:p>
        </w:tc>
        <w:tc>
          <w:tcPr>
            <w:tcW w:type="dxa" w:w="4561"/>
          </w:tcPr>
          <w:p>
            <w:pPr>
              <w:jc w:val="center"/>
            </w:pPr>
            <w:r/>
            <w:r>
              <w:rPr>
                <w:rFonts w:ascii="Times New Roman" w:hAnsi="Times New Roman" w:cs="Times New Roman" w:eastAsia="Times New Roman"/>
                <w:b w:val="0"/>
                <w:i w:val="0"/>
                <w:sz w:val="22"/>
              </w:rPr>
              <w:t>Normalised decision matrix</w:t>
            </w:r>
          </w:p>
        </w:tc>
      </w:tr>
      <w:tr>
        <w:tc>
          <w:tcPr>
            <w:tcW w:type="dxa" w:w="4561"/>
          </w:tcPr>
          <w:p>
            <w:pPr>
              <w:jc w:val="center"/>
            </w:pPr>
            <w:r/>
            <w:r>
              <w:rPr>
                <w:rFonts w:ascii="Times New Roman" w:hAnsi="Times New Roman" w:cs="Times New Roman" w:eastAsia="Times New Roman"/>
                <w:b w:val="0"/>
                <w:i w:val="0"/>
                <w:sz w:val="22"/>
              </w:rPr>
              <w:t>V = [v_ij] = w_j · r_ij</w:t>
            </w:r>
          </w:p>
        </w:tc>
        <w:tc>
          <w:tcPr>
            <w:tcW w:type="dxa" w:w="4561"/>
          </w:tcPr>
          <w:p>
            <w:pPr>
              <w:jc w:val="center"/>
            </w:pPr>
            <w:r/>
            <w:r>
              <w:rPr>
                <w:rFonts w:ascii="Times New Roman" w:hAnsi="Times New Roman" w:cs="Times New Roman" w:eastAsia="Times New Roman"/>
                <w:b w:val="0"/>
                <w:i w:val="0"/>
                <w:sz w:val="22"/>
              </w:rPr>
              <w:t>Weighted normalised decision matrix</w:t>
            </w:r>
          </w:p>
        </w:tc>
      </w:tr>
      <w:tr>
        <w:tc>
          <w:tcPr>
            <w:tcW w:type="dxa" w:w="4561"/>
          </w:tcPr>
          <w:p>
            <w:pPr>
              <w:jc w:val="center"/>
            </w:pPr>
            <w:r/>
            <w:r>
              <w:rPr>
                <w:rFonts w:ascii="Times New Roman" w:hAnsi="Times New Roman" w:cs="Times New Roman" w:eastAsia="Times New Roman"/>
                <w:b w:val="0"/>
                <w:i w:val="0"/>
                <w:sz w:val="22"/>
              </w:rPr>
              <w:t>C(a, b)</w:t>
            </w:r>
          </w:p>
        </w:tc>
        <w:tc>
          <w:tcPr>
            <w:tcW w:type="dxa" w:w="4561"/>
          </w:tcPr>
          <w:p>
            <w:pPr>
              <w:jc w:val="center"/>
            </w:pPr>
            <w:r/>
            <w:r>
              <w:rPr>
                <w:rFonts w:ascii="Times New Roman" w:hAnsi="Times New Roman" w:cs="Times New Roman" w:eastAsia="Times New Roman"/>
                <w:b w:val="0"/>
                <w:i w:val="0"/>
                <w:sz w:val="22"/>
              </w:rPr>
              <w:t>Concordance index</w:t>
            </w:r>
          </w:p>
        </w:tc>
      </w:tr>
      <w:tr>
        <w:tc>
          <w:tcPr>
            <w:tcW w:type="dxa" w:w="4561"/>
          </w:tcPr>
          <w:p>
            <w:pPr>
              <w:jc w:val="center"/>
            </w:pPr>
            <w:r/>
            <w:r>
              <w:rPr>
                <w:rFonts w:ascii="Times New Roman" w:hAnsi="Times New Roman" w:cs="Times New Roman" w:eastAsia="Times New Roman"/>
                <w:b w:val="0"/>
                <w:i w:val="0"/>
                <w:sz w:val="22"/>
              </w:rPr>
              <w:t>D(a, b)</w:t>
            </w:r>
          </w:p>
        </w:tc>
        <w:tc>
          <w:tcPr>
            <w:tcW w:type="dxa" w:w="4561"/>
          </w:tcPr>
          <w:p>
            <w:pPr>
              <w:jc w:val="center"/>
            </w:pPr>
            <w:r/>
            <w:r>
              <w:rPr>
                <w:rFonts w:ascii="Times New Roman" w:hAnsi="Times New Roman" w:cs="Times New Roman" w:eastAsia="Times New Roman"/>
                <w:b w:val="0"/>
                <w:i w:val="0"/>
                <w:sz w:val="22"/>
              </w:rPr>
              <w:t>Discordance index</w:t>
            </w:r>
          </w:p>
        </w:tc>
      </w:tr>
      <w:tr>
        <w:tc>
          <w:tcPr>
            <w:tcW w:type="dxa" w:w="4561"/>
          </w:tcPr>
          <w:p>
            <w:pPr>
              <w:jc w:val="center"/>
            </w:pPr>
            <w:r/>
            <w:r>
              <w:rPr>
                <w:rFonts w:ascii="Times New Roman" w:hAnsi="Times New Roman" w:cs="Times New Roman" w:eastAsia="Times New Roman"/>
                <w:b w:val="0"/>
                <w:i w:val="0"/>
                <w:sz w:val="22"/>
              </w:rPr>
              <w:t>c̄, d̄</w:t>
            </w:r>
          </w:p>
        </w:tc>
        <w:tc>
          <w:tcPr>
            <w:tcW w:type="dxa" w:w="4561"/>
          </w:tcPr>
          <w:p>
            <w:pPr>
              <w:jc w:val="center"/>
            </w:pPr>
            <w:r/>
            <w:r>
              <w:rPr>
                <w:rFonts w:ascii="Times New Roman" w:hAnsi="Times New Roman" w:cs="Times New Roman" w:eastAsia="Times New Roman"/>
                <w:b w:val="0"/>
                <w:i w:val="0"/>
                <w:sz w:val="22"/>
              </w:rPr>
              <w:t>Concordance and discordance thresholds (means of C and D)</w:t>
            </w:r>
          </w:p>
        </w:tc>
      </w:tr>
      <w:tr>
        <w:tc>
          <w:tcPr>
            <w:tcW w:type="dxa" w:w="4561"/>
          </w:tcPr>
          <w:p>
            <w:pPr>
              <w:jc w:val="center"/>
            </w:pPr>
            <w:r/>
            <w:r>
              <w:rPr>
                <w:rFonts w:ascii="Times New Roman" w:hAnsi="Times New Roman" w:cs="Times New Roman" w:eastAsia="Times New Roman"/>
                <w:b w:val="0"/>
                <w:i w:val="0"/>
                <w:sz w:val="22"/>
              </w:rPr>
              <w:t>F, G</w:t>
            </w:r>
          </w:p>
        </w:tc>
        <w:tc>
          <w:tcPr>
            <w:tcW w:type="dxa" w:w="4561"/>
          </w:tcPr>
          <w:p>
            <w:pPr>
              <w:jc w:val="center"/>
            </w:pPr>
            <w:r/>
            <w:r>
              <w:rPr>
                <w:rFonts w:ascii="Times New Roman" w:hAnsi="Times New Roman" w:cs="Times New Roman" w:eastAsia="Times New Roman"/>
                <w:b w:val="0"/>
                <w:i w:val="0"/>
                <w:sz w:val="22"/>
              </w:rPr>
              <w:t>Concordance and discordance dominance matrices</w:t>
            </w:r>
          </w:p>
        </w:tc>
      </w:tr>
      <w:tr>
        <w:tc>
          <w:tcPr>
            <w:tcW w:type="dxa" w:w="4561"/>
          </w:tcPr>
          <w:p>
            <w:pPr>
              <w:jc w:val="center"/>
            </w:pPr>
            <w:r/>
            <w:r>
              <w:rPr>
                <w:rFonts w:ascii="Times New Roman" w:hAnsi="Times New Roman" w:cs="Times New Roman" w:eastAsia="Times New Roman"/>
                <w:b w:val="0"/>
                <w:i w:val="0"/>
                <w:sz w:val="22"/>
              </w:rPr>
              <w:t>E = F ⊙ G</w:t>
            </w:r>
          </w:p>
        </w:tc>
        <w:tc>
          <w:tcPr>
            <w:tcW w:type="dxa" w:w="4561"/>
          </w:tcPr>
          <w:p>
            <w:pPr>
              <w:jc w:val="center"/>
            </w:pPr>
            <w:r/>
            <w:r>
              <w:rPr>
                <w:rFonts w:ascii="Times New Roman" w:hAnsi="Times New Roman" w:cs="Times New Roman" w:eastAsia="Times New Roman"/>
                <w:b w:val="0"/>
                <w:i w:val="0"/>
                <w:sz w:val="22"/>
              </w:rPr>
              <w:t>Aggregate dominance matrix used to derive the final ranking</w:t>
            </w:r>
          </w:p>
        </w:tc>
      </w:tr>
    </w:tbl>
    <w:p/>
    <w:p>
      <w:pPr>
        <w:spacing w:after="120" w:line="360" w:lineRule="auto"/>
        <w:ind w:firstLine="283"/>
        <w:jc w:val="both"/>
      </w:pPr>
      <w:r>
        <w:rPr>
          <w:rFonts w:ascii="Times New Roman" w:hAnsi="Times New Roman" w:cs="Times New Roman" w:eastAsia="Times New Roman"/>
          <w:b w:val="0"/>
          <w:i w:val="0"/>
          <w:sz w:val="24"/>
        </w:rPr>
        <w:t>The ELECTRE steps used in the study are as follows.</w:t>
      </w:r>
    </w:p>
    <w:p>
      <w:pPr>
        <w:pStyle w:val="ListNumber"/>
        <w:spacing w:after="40"/>
      </w:pPr>
      <w:r>
        <w:rPr>
          <w:rFonts w:ascii="Times New Roman" w:hAnsi="Times New Roman" w:cs="Times New Roman" w:eastAsia="Times New Roman"/>
          <w:b w:val="0"/>
          <w:i w:val="0"/>
          <w:sz w:val="24"/>
        </w:rPr>
        <w:t>Construct the decision matrix X = [x_ij] with each row a channel alternative and each column a criterion; entries are mean ratings from the survey.</w:t>
      </w:r>
    </w:p>
    <w:p>
      <w:pPr>
        <w:pStyle w:val="ListNumber"/>
        <w:spacing w:after="40"/>
      </w:pPr>
      <w:r>
        <w:rPr>
          <w:rFonts w:ascii="Times New Roman" w:hAnsi="Times New Roman" w:cs="Times New Roman" w:eastAsia="Times New Roman"/>
          <w:b w:val="0"/>
          <w:i w:val="0"/>
          <w:sz w:val="24"/>
        </w:rPr>
        <w:t>Normalise X by vector normalisation: r_ij = x_ij / sqrt(Σ_i x_ij²).</w:t>
      </w:r>
    </w:p>
    <w:p>
      <w:pPr>
        <w:pStyle w:val="ListNumber"/>
        <w:spacing w:after="40"/>
      </w:pPr>
      <w:r>
        <w:rPr>
          <w:rFonts w:ascii="Times New Roman" w:hAnsi="Times New Roman" w:cs="Times New Roman" w:eastAsia="Times New Roman"/>
          <w:b w:val="0"/>
          <w:i w:val="0"/>
          <w:sz w:val="24"/>
        </w:rPr>
        <w:t>Compute V by multiplying each column r_ij by the criterion weight w_j obtained from Fuzzy AHP.</w:t>
      </w:r>
    </w:p>
    <w:p>
      <w:pPr>
        <w:pStyle w:val="ListNumber"/>
        <w:spacing w:after="40"/>
      </w:pPr>
      <w:r>
        <w:rPr>
          <w:rFonts w:ascii="Times New Roman" w:hAnsi="Times New Roman" w:cs="Times New Roman" w:eastAsia="Times New Roman"/>
          <w:b w:val="0"/>
          <w:i w:val="0"/>
          <w:sz w:val="24"/>
        </w:rPr>
        <w:t>For every ordered pair (a, b), build the concordance set C(a, b) (criteria on which a is at least as good as b) and the discordance set D(a, b) (criteria on which a is worse).</w:t>
      </w:r>
    </w:p>
    <w:p>
      <w:pPr>
        <w:pStyle w:val="ListNumber"/>
        <w:spacing w:after="40"/>
      </w:pPr>
      <w:r>
        <w:rPr>
          <w:rFonts w:ascii="Times New Roman" w:hAnsi="Times New Roman" w:cs="Times New Roman" w:eastAsia="Times New Roman"/>
          <w:b w:val="0"/>
          <w:i w:val="0"/>
          <w:sz w:val="24"/>
        </w:rPr>
        <w:t>Compute the concordance index C(a,b) = Σ w_j for j ∈ C(a,b) and the discordance index D(a,b) = max{|v_aj − v_bj|} / max{|v_ij − v_kj|}.</w:t>
      </w:r>
    </w:p>
    <w:p>
      <w:pPr>
        <w:pStyle w:val="ListNumber"/>
        <w:spacing w:after="40"/>
      </w:pPr>
      <w:r>
        <w:rPr>
          <w:rFonts w:ascii="Times New Roman" w:hAnsi="Times New Roman" w:cs="Times New Roman" w:eastAsia="Times New Roman"/>
          <w:b w:val="0"/>
          <w:i w:val="0"/>
          <w:sz w:val="24"/>
        </w:rPr>
        <w:t>Compute the thresholds c̄ and d̄ as the averages of the indices, and build the boolean dominance matrices F and G.</w:t>
      </w:r>
    </w:p>
    <w:p>
      <w:pPr>
        <w:pStyle w:val="ListNumber"/>
        <w:spacing w:after="40"/>
      </w:pPr>
      <w:r>
        <w:rPr>
          <w:rFonts w:ascii="Times New Roman" w:hAnsi="Times New Roman" w:cs="Times New Roman" w:eastAsia="Times New Roman"/>
          <w:b w:val="0"/>
          <w:i w:val="0"/>
          <w:sz w:val="24"/>
        </w:rPr>
        <w:t>Multiply F and G element-wise to get E. Alternative a outranks alternative b if and only if e_ab = 1.</w:t>
      </w:r>
    </w:p>
    <w:p>
      <w:pPr>
        <w:pStyle w:val="ListNumber"/>
        <w:spacing w:after="40"/>
      </w:pPr>
      <w:r>
        <w:rPr>
          <w:rFonts w:ascii="Times New Roman" w:hAnsi="Times New Roman" w:cs="Times New Roman" w:eastAsia="Times New Roman"/>
          <w:b w:val="0"/>
          <w:i w:val="0"/>
          <w:sz w:val="24"/>
        </w:rPr>
        <w:t>Construct the outranking graph and read off the final ranking of channel alternatives.</w:t>
      </w:r>
    </w:p>
    <w:p>
      <w:pPr>
        <w:keepNext/>
        <w:spacing w:before="160" w:after="80"/>
      </w:pPr>
      <w:r>
        <w:rPr>
          <w:rFonts w:ascii="Times New Roman" w:hAnsi="Times New Roman" w:cs="Times New Roman" w:eastAsia="Times New Roman"/>
          <w:b/>
          <w:i/>
          <w:sz w:val="24"/>
        </w:rPr>
        <w:t>3.8.3  Integration of Fuzzy AHP and ELECTRE</w:t>
      </w:r>
    </w:p>
    <w:p>
      <w:pPr>
        <w:spacing w:after="120" w:line="360" w:lineRule="auto"/>
        <w:ind w:firstLine="283"/>
        <w:jc w:val="both"/>
      </w:pPr>
      <w:r>
        <w:rPr>
          <w:rFonts w:ascii="Times New Roman" w:hAnsi="Times New Roman" w:cs="Times New Roman" w:eastAsia="Times New Roman"/>
          <w:b w:val="0"/>
          <w:i w:val="0"/>
          <w:sz w:val="24"/>
        </w:rPr>
        <w:t>The two tools meet at exactly one point: the criterion weights w_j produced at Step 7 of the Fuzzy AHP procedure feed directly into Step 3 of the ELECTRE procedure, where they enter the weighted normalised decision matrix V. No other tool is used in between, and no other tool is used after. The end-to-end research process is shown schematically in Figure 3.5.</w:t>
      </w:r>
    </w:p>
    <w:p>
      <w:pPr>
        <w:keepNext/>
        <w:spacing w:before="280" w:after="160"/>
      </w:pPr>
      <w:r>
        <w:rPr>
          <w:rFonts w:ascii="Times New Roman" w:hAnsi="Times New Roman" w:cs="Times New Roman" w:eastAsia="Times New Roman"/>
          <w:b/>
          <w:i w:val="0"/>
          <w:sz w:val="28"/>
        </w:rPr>
        <w:t>3.9  Research Process Flow Diagram</w:t>
      </w:r>
    </w:p>
    <w:p>
      <w:pPr>
        <w:spacing w:after="120" w:line="360" w:lineRule="auto"/>
        <w:ind w:firstLine="283"/>
        <w:jc w:val="both"/>
      </w:pPr>
      <w:r>
        <w:rPr>
          <w:rFonts w:ascii="Times New Roman" w:hAnsi="Times New Roman" w:cs="Times New Roman" w:eastAsia="Times New Roman"/>
          <w:b w:val="0"/>
          <w:i w:val="0"/>
          <w:sz w:val="24"/>
        </w:rPr>
        <w:t>Figure 3.5 puts the entire research process on a single page. The left-hand branch shows the Fuzzy AHP weight-derivation track and the right-hand branch shows the ELECTRE outranking track. The two branches converge at the bottom, where the optimal distribution channel for Malta is identified and the recommendations to stakeholders are framed.</w:t>
      </w:r>
    </w:p>
    <w:p>
      <w:pPr>
        <w:jc w:val="center"/>
      </w:pPr>
      <w:r>
        <w:drawing>
          <wp:inline xmlns:a="http://schemas.openxmlformats.org/drawingml/2006/main" xmlns:pic="http://schemas.openxmlformats.org/drawingml/2006/picture">
            <wp:extent cx="5486400" cy="7120230"/>
            <wp:docPr id="5" name="Picture 5"/>
            <wp:cNvGraphicFramePr>
              <a:graphicFrameLocks noChangeAspect="1"/>
            </wp:cNvGraphicFramePr>
            <a:graphic>
              <a:graphicData uri="http://schemas.openxmlformats.org/drawingml/2006/picture">
                <pic:pic>
                  <pic:nvPicPr>
                    <pic:cNvPr id="0" name="flow_diagram_chapter3.png"/>
                    <pic:cNvPicPr/>
                  </pic:nvPicPr>
                  <pic:blipFill>
                    <a:blip r:embed="rId13"/>
                    <a:stretch>
                      <a:fillRect/>
                    </a:stretch>
                  </pic:blipFill>
                  <pic:spPr>
                    <a:xfrm>
                      <a:off x="0" y="0"/>
                      <a:ext cx="5486400" cy="7120230"/>
                    </a:xfrm>
                    <a:prstGeom prst="rect"/>
                  </pic:spPr>
                </pic:pic>
              </a:graphicData>
            </a:graphic>
          </wp:inline>
        </w:drawing>
      </w:r>
    </w:p>
    <w:p>
      <w:pPr>
        <w:spacing w:before="160" w:after="80"/>
        <w:jc w:val="center"/>
      </w:pPr>
      <w:r>
        <w:rPr>
          <w:rFonts w:ascii="Times New Roman" w:hAnsi="Times New Roman" w:cs="Times New Roman" w:eastAsia="Times New Roman"/>
          <w:b/>
          <w:i w:val="0"/>
          <w:sz w:val="22"/>
        </w:rPr>
        <w:t>Figure 3.5: Research Process Flow Diagram - Malta Distribution Channel Optimisation Study</w:t>
      </w:r>
    </w:p>
    <w:p>
      <w:pPr>
        <w:keepNext/>
        <w:spacing w:before="280" w:after="160"/>
      </w:pPr>
      <w:r>
        <w:rPr>
          <w:rFonts w:ascii="Times New Roman" w:hAnsi="Times New Roman" w:cs="Times New Roman" w:eastAsia="Times New Roman"/>
          <w:b/>
          <w:i w:val="0"/>
          <w:sz w:val="28"/>
        </w:rPr>
        <w:t>3.10  Reliability and Validity</w:t>
      </w:r>
    </w:p>
    <w:p>
      <w:pPr>
        <w:spacing w:after="120" w:line="360" w:lineRule="auto"/>
        <w:ind w:firstLine="283"/>
        <w:jc w:val="both"/>
      </w:pPr>
      <w:r>
        <w:rPr>
          <w:rFonts w:ascii="Times New Roman" w:hAnsi="Times New Roman" w:cs="Times New Roman" w:eastAsia="Times New Roman"/>
          <w:b w:val="0"/>
          <w:i w:val="0"/>
          <w:sz w:val="24"/>
        </w:rPr>
        <w:t>Reliability of the responses was protected at three points in the study. First, during instrument design through Cronbach's α and item-total correlation. Second, during Fuzzy AHP elicitation through the CR &lt; 0.10 rule: any pairwise-comparison matrix with CR ≥ 0.10 was returned to the respondent for revision and matrices that could not be reconciled were excluded. Third, during ELECTRE outranking through the use of mean ratings — large samples shrink the standard errors of these means, and that in turn protects the outranking from individual outlier ratings.</w:t>
      </w:r>
    </w:p>
    <w:p>
      <w:pPr>
        <w:spacing w:after="120" w:line="360" w:lineRule="auto"/>
        <w:ind w:firstLine="283"/>
        <w:jc w:val="both"/>
      </w:pPr>
      <w:r>
        <w:rPr>
          <w:rFonts w:ascii="Times New Roman" w:hAnsi="Times New Roman" w:cs="Times New Roman" w:eastAsia="Times New Roman"/>
          <w:b w:val="0"/>
          <w:i w:val="0"/>
          <w:sz w:val="24"/>
        </w:rPr>
        <w:t>Content validity was secured by deriving the factors from the literature and refining them through expert review. Face validity was checked during pre-testing. Convergent validity was supported by the broad agreement between the Fuzzy AHP rank-order of criteria and the rank-order suggested independently by the expert panel.</w:t>
      </w:r>
    </w:p>
    <w:p>
      <w:pPr>
        <w:keepNext/>
        <w:spacing w:before="280" w:after="160"/>
      </w:pPr>
      <w:r>
        <w:rPr>
          <w:rFonts w:ascii="Times New Roman" w:hAnsi="Times New Roman" w:cs="Times New Roman" w:eastAsia="Times New Roman"/>
          <w:b/>
          <w:i w:val="0"/>
          <w:sz w:val="28"/>
        </w:rPr>
        <w:t>3.11  Ethical Considerations</w:t>
      </w:r>
    </w:p>
    <w:p>
      <w:pPr>
        <w:spacing w:after="120" w:line="360" w:lineRule="auto"/>
        <w:ind w:firstLine="283"/>
        <w:jc w:val="both"/>
      </w:pPr>
      <w:r>
        <w:rPr>
          <w:rFonts w:ascii="Times New Roman" w:hAnsi="Times New Roman" w:cs="Times New Roman" w:eastAsia="Times New Roman"/>
          <w:b w:val="0"/>
          <w:i w:val="0"/>
          <w:sz w:val="24"/>
        </w:rPr>
        <w:t>Participation was voluntary and informed consent was obtained from every respondent before the schedule was administered. Respondents were assured that their identity would remain anonymous in any outputs of the study and that the data would be used only for academic purposes. No commercially sensitive pricing or identity information was solicited or retained, and the researcher complied with the ethical guidelines of the parent institution throughout the fieldwork.</w:t>
      </w:r>
    </w:p>
    <w:p>
      <w:pPr>
        <w:keepNext/>
        <w:spacing w:before="280" w:after="160"/>
      </w:pPr>
      <w:r>
        <w:rPr>
          <w:rFonts w:ascii="Times New Roman" w:hAnsi="Times New Roman" w:cs="Times New Roman" w:eastAsia="Times New Roman"/>
          <w:b/>
          <w:i w:val="0"/>
          <w:sz w:val="28"/>
        </w:rPr>
        <w:t>3.12  Concluding Remarks</w:t>
      </w:r>
    </w:p>
    <w:p>
      <w:pPr>
        <w:spacing w:after="120" w:line="360" w:lineRule="auto"/>
        <w:ind w:firstLine="283"/>
        <w:jc w:val="both"/>
      </w:pPr>
      <w:r>
        <w:rPr>
          <w:rFonts w:ascii="Times New Roman" w:hAnsi="Times New Roman" w:cs="Times New Roman" w:eastAsia="Times New Roman"/>
          <w:b w:val="0"/>
          <w:i w:val="0"/>
          <w:sz w:val="24"/>
        </w:rPr>
        <w:t>This chapter has described how the study was actually carried out: a cross-sectional, mixed-method design; three phases of data collection running from September 2024 to December 2025; a stratified random sample of 1,300 respondents drawn from seven stakeholder groups across the four Malta-producing districts of the Garhwal region; a factor pool that started at 144 candidates and was screened down to 82 finalised items through reliability and consistency tests; and two analytical tools — Fuzzy AHP for criterion weighting and ELECTRE for outranking — connected through the criterion weight vector. The next chapter applies this methodology to the Malta data and presents the results.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