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4</w:t>
      </w:r>
    </w:p>
    <w:p>
      <w:pPr>
        <w:jc w:val="center"/>
      </w:pPr>
      <w:r>
        <w:rPr>
          <w:b/>
          <w:sz w:val="32"/>
        </w:rPr>
        <w:t>RESEARCH METHODOLOGY</w:t>
      </w:r>
    </w:p>
    <w:p/>
    <w:p>
      <w:pPr>
        <w:jc w:val="both"/>
      </w:pPr>
      <w:r>
        <w:rPr>
          <w:b w:val="0"/>
          <w:i w:val="0"/>
          <w:sz w:val="22"/>
        </w:rPr>
        <w:t>Research methodology is the framework that gives the blueprint of the study to be conducted and ensures that the present research is relevant to the problem under investigation. This chapter presents the rationale for the study, the problem statement, the research questions, the research objectives, and the research design adopted for data collection. It further discusses the sampling process, the administration of the survey, and the statistical tools used for data analysis with specific reference to the Malta (Citrus sinensis) distribution channel in the Garhwal region of Uttarakhand.</w:t>
      </w:r>
    </w:p>
    <w:p>
      <w:pPr>
        <w:pStyle w:val="Heading1"/>
      </w:pPr>
      <w:r>
        <w:rPr>
          <w:color w:val="000000"/>
        </w:rPr>
        <w:t>4.1  Rationale of the Study</w:t>
      </w:r>
    </w:p>
    <w:p>
      <w:pPr>
        <w:jc w:val="both"/>
      </w:pPr>
      <w:r>
        <w:rPr>
          <w:b w:val="0"/>
          <w:i w:val="0"/>
          <w:sz w:val="22"/>
        </w:rPr>
        <w:t>The Indian horticulture sector contributes a significant share to the country's agricultural GDP, yet the supply chains of fresh fruits and vegetables continue to suffer from severe inefficiencies that translate into very high post-harvest losses. Within this broader picture, Malta (Citrus sinensis) — locally grown in the mid-hills of Uttarakhand — represents an economically important but structurally fragile commodity. Malta is the principal sweet orange cultivated in the Garhwal region (Pauri Garhwal, Tehri Garhwal, Rudraprayag and Chamoli districts) and is a major source of livelihood for hill farmers. However, a scattered grower base, fragmented holdings, hilly terrain, weak cold-chain infrastructure, and a long chain of intermediaries together create persistent inefficiencies across the cost, time and quality dimensions of the distribution channel.</w:t>
      </w:r>
    </w:p>
    <w:p>
      <w:pPr>
        <w:jc w:val="both"/>
      </w:pPr>
      <w:r>
        <w:rPr>
          <w:b w:val="0"/>
          <w:i w:val="0"/>
          <w:sz w:val="22"/>
        </w:rPr>
        <w:t>The perishable nature of Malta, combined with a short harvest window (approximately October to February) and limited processing capacity in the region, makes an efficient farm-to-market distribution channel an absolute necessity. A large fraction of the produce is reported to lose value between the orchard and the wholesale mandi due to manual harvesting, poor packaging, rough handling in transit, multiple intermediaries, and the absence of temperature-controlled storage. There is therefore an urgent need to identify the activities that contribute the most to inefficiency, the underlying factors driving them, and a structured framework to mitigate them.</w:t>
      </w:r>
    </w:p>
    <w:p>
      <w:pPr>
        <w:jc w:val="both"/>
      </w:pPr>
      <w:r>
        <w:rPr>
          <w:b w:val="0"/>
          <w:i w:val="0"/>
          <w:sz w:val="22"/>
        </w:rPr>
        <w:t>This study focuses on the activities contributing to distribution-channel inefficiencies across the stages of the Malta supply chain — beginning at the farm gate, moving through village traders / middlemen and local commission agents, then to the wholesale mandi, the retailer, and finally the consumer — and on the factors leading to inefficiency in each of these stages. Based on the identified activities and factors, a framework is developed for improving the distribution-channel efficiency of Malta in the Garhwal region.</w:t>
      </w:r>
    </w:p>
    <w:p>
      <w:pPr>
        <w:pStyle w:val="Heading1"/>
      </w:pPr>
      <w:r>
        <w:rPr>
          <w:color w:val="000000"/>
        </w:rPr>
        <w:t>4.2  Problem Statement</w:t>
      </w:r>
    </w:p>
    <w:p>
      <w:pPr>
        <w:jc w:val="both"/>
      </w:pPr>
      <w:r>
        <w:rPr>
          <w:b w:val="0"/>
          <w:i w:val="0"/>
          <w:sz w:val="22"/>
        </w:rPr>
        <w:t>Although the existing literature contains a number of studies on fruit and vegetable supply chains in general — and on commercially dominant citrus fruits such as Kinnow and Nagpur orange in particular — there is a clear lack of stage-wise empirical work on the distribution channel of Malta in the Garhwal region. The weak links and the constraints responsible for inefficiency at each stage of the Malta channel, and the corrective measures that could improve its efficiency, are not well documented. Further, no integrative framework exists that links the most significant activities, the factors driving inefficiency, and concrete improvement measures specifically for Malta (Citrus sinensis) in this geography.</w:t>
      </w:r>
    </w:p>
    <w:p>
      <w:pPr>
        <w:pStyle w:val="Heading1"/>
      </w:pPr>
      <w:r>
        <w:rPr>
          <w:color w:val="000000"/>
        </w:rPr>
        <w:t>4.3  Research Questions</w:t>
      </w:r>
    </w:p>
    <w:p>
      <w:pPr>
        <w:jc w:val="both"/>
      </w:pPr>
      <w:r>
        <w:rPr>
          <w:b w:val="0"/>
          <w:i w:val="0"/>
          <w:sz w:val="22"/>
        </w:rPr>
        <w:t>To address the gaps identified in the literature, the following research questions are posed:</w:t>
      </w:r>
    </w:p>
    <w:p>
      <w:pPr>
        <w:pStyle w:val="ListBullet"/>
      </w:pPr>
      <w:r>
        <w:t>What are the most significant activities contributing to inefficiency in the different stages of the Malta (Citrus sinensis) distribution channel in the Garhwal region?</w:t>
      </w:r>
    </w:p>
    <w:p>
      <w:pPr>
        <w:pStyle w:val="ListBullet"/>
      </w:pPr>
      <w:r>
        <w:t>What are the factors leading to inefficiency in the identified activities across the stages of the Malta distribution channel with respect to cost, time and quality?</w:t>
      </w:r>
    </w:p>
    <w:p>
      <w:pPr>
        <w:pStyle w:val="ListBullet"/>
      </w:pPr>
      <w:r>
        <w:t>How can a framework be developed for improving the distribution-channel efficiency of Malta with specific reference to the Garhwal region?</w:t>
      </w:r>
    </w:p>
    <w:p>
      <w:pPr>
        <w:pStyle w:val="Heading1"/>
      </w:pPr>
      <w:r>
        <w:rPr>
          <w:color w:val="000000"/>
        </w:rPr>
        <w:t>4.4  Research Objectives</w:t>
      </w:r>
    </w:p>
    <w:p>
      <w:pPr>
        <w:jc w:val="both"/>
      </w:pPr>
      <w:r>
        <w:rPr>
          <w:b w:val="0"/>
          <w:i w:val="0"/>
          <w:sz w:val="22"/>
        </w:rPr>
        <w:t>The objectives of the present research are:</w:t>
      </w:r>
    </w:p>
    <w:p>
      <w:pPr>
        <w:pStyle w:val="ListBullet"/>
      </w:pPr>
      <w:r>
        <w:t>RO 1 — To identify the most significant activities contributing to distribution-channel inefficiency (with respect to cost, time and quality) in the different stages of the Malta supply chain in the Garhwal region.</w:t>
      </w:r>
    </w:p>
    <w:p>
      <w:pPr>
        <w:pStyle w:val="ListBullet"/>
      </w:pPr>
      <w:r>
        <w:t>RO 2 — To identify the factors leading to inefficiency (with respect to cost, time and quality) in the identified activities across the stages of the Malta distribution channel.</w:t>
      </w:r>
    </w:p>
    <w:p>
      <w:pPr>
        <w:pStyle w:val="ListBullet"/>
      </w:pPr>
      <w:r>
        <w:t>RO 3 — To develop a framework for improving the distribution-channel efficiency of Malta with specific reference to the Garhwal region.</w:t>
      </w:r>
    </w:p>
    <w:p>
      <w:pPr>
        <w:pStyle w:val="Heading1"/>
      </w:pPr>
      <w:r>
        <w:rPr>
          <w:color w:val="000000"/>
        </w:rPr>
        <w:t>4.5  Research Design</w:t>
      </w:r>
    </w:p>
    <w:p>
      <w:pPr>
        <w:jc w:val="both"/>
      </w:pPr>
      <w:r>
        <w:rPr>
          <w:b w:val="0"/>
          <w:i w:val="0"/>
          <w:sz w:val="22"/>
        </w:rPr>
        <w:t>According to Kinnear and Taylor (1996), "research design is a blueprint that is followed to complete the study and that ensures that the study is relevant to the problem and uses economic procedures." The research design used in this study can be classified into two broad categories: (i) exploratory research, applied to the first two objectives, where the most significant activities and the underlying factors of inefficiency are identified; and (ii) conclusive research, applied to the third objective, where a framework for improvement is developed. The study employs a mixed-method approach in which quantitative (stakeholder survey, descriptive statistics, reliability analysis, principal component analysis / exploratory factor analysis) and qualitative (semi-structured expert interviews, thematic coding) techniques are integrated in a sequential manner.</w:t>
      </w:r>
    </w:p>
    <w:p>
      <w:pPr>
        <w:pStyle w:val="Heading2"/>
      </w:pPr>
      <w:r>
        <w:rPr>
          <w:color w:val="000000"/>
        </w:rPr>
        <w:t>4.5.1  Research Process</w:t>
      </w:r>
    </w:p>
    <w:p>
      <w:pPr>
        <w:jc w:val="both"/>
      </w:pPr>
      <w:r>
        <w:rPr>
          <w:b w:val="0"/>
          <w:i w:val="0"/>
          <w:sz w:val="22"/>
        </w:rPr>
        <w:t>The framework followed to obtain answers to the research questions is summarised below. RO 1 is addressed through activity mapping followed by a stakeholder survey on the significance of each activity in driving cost, time and quality inefficiencies. RO 2 is addressed through a structured Likert-scaled questionnaire on factors associated with each activity, analysed via reliability testing (Cronbach's α) and principal component analysis (PCA) / exploratory factor analysis (EFA). RO 3 builds on the high-loading variables identified in RO 2 and employs in-depth semi-structured interviews with domain experts to derive measures and to construct the final improvement framework.</w:t>
      </w:r>
    </w:p>
    <w:p>
      <w:pPr>
        <w:pStyle w:val="Heading1"/>
      </w:pPr>
      <w:r>
        <w:rPr>
          <w:color w:val="000000"/>
        </w:rPr>
        <w:t>4.6  For Research Objective 1</w:t>
      </w:r>
    </w:p>
    <w:p>
      <w:pPr>
        <w:jc w:val="both"/>
      </w:pPr>
      <w:r>
        <w:rPr>
          <w:b w:val="0"/>
          <w:i/>
          <w:sz w:val="22"/>
        </w:rPr>
        <w:t>RO 1 — To identify the most significant activities contributing to distribution-channel inefficiency (with respect to cost, time and quality) in the different stages of the Malta supply chain in the Garhwal region.</w:t>
      </w:r>
    </w:p>
    <w:p>
      <w:pPr>
        <w:pStyle w:val="Heading2"/>
      </w:pPr>
      <w:r>
        <w:rPr>
          <w:color w:val="000000"/>
        </w:rPr>
        <w:t>4.6.1  Questionnaire Development</w:t>
      </w:r>
    </w:p>
    <w:p>
      <w:pPr>
        <w:jc w:val="both"/>
      </w:pPr>
      <w:r>
        <w:rPr>
          <w:b w:val="0"/>
          <w:i w:val="0"/>
          <w:sz w:val="22"/>
        </w:rPr>
        <w:t>On the basis of activities listed through activity mapping (Chapter 5) and brainstorming with domain experts and stakeholders, a structured questionnaire was designed for each stakeholder group across the stages of the Malta distribution channel — namely the farmer, village trader / local middleman, local commission agent, wholesaler, retailer and transporter. For each questionnaire, the respondents rated the level of inefficiency contributed by each activity along three aspects: cost, time and quality. A five-point Likert scale was used ("1" = not significant to "5" = highly significant) (Brown, 2010; Vagias, 2006; Vogt, 1999). The instrument is reproduced in Appendix I. Responses were captured in the Malta master dataset and analysed in IBM SPSS Statistics (version 26) and the open-source jamovi platform.</w:t>
      </w:r>
    </w:p>
    <w:p>
      <w:pPr>
        <w:pStyle w:val="Heading2"/>
      </w:pPr>
      <w:r>
        <w:rPr>
          <w:color w:val="000000"/>
        </w:rPr>
        <w:t>4.6.2  Pilot Testing</w:t>
      </w:r>
    </w:p>
    <w:p>
      <w:pPr>
        <w:jc w:val="both"/>
      </w:pPr>
      <w:r>
        <w:rPr>
          <w:b w:val="0"/>
          <w:i w:val="0"/>
          <w:sz w:val="22"/>
        </w:rPr>
        <w:t>Based on the final list of activities, the questionnaire was pre-tested with a total of 130 stakeholders drawn from across the Malta distribution channel in the Garhwal region — comprising 65 farmers, 12 village traders, 8 local commission agents, 13 wholesalers, 13 retailers and 19 transporters — as suggested by Hair et al. (2010) and Bryman and Bell (2007). Prior to fieldwork the instrument was discussed with stakeholders and academic experts in logistics and supply chain management; ambiguous and vague items were removed, redundant items were dropped and a small number of more specific Malta-related items were added. The expert feedback was instrumental in producing a concise instrument aligned with the study objectives.</w:t>
      </w:r>
    </w:p>
    <w:p>
      <w:pPr>
        <w:jc w:val="center"/>
      </w:pPr>
      <w:r>
        <w:rPr>
          <w:b/>
          <w:sz w:val="20"/>
        </w:rPr>
        <w:t>Table 4.1: Pilot Testing — Malta Distribution Channel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E1F2"/>
          </w:tcPr>
          <w:p>
            <w:pPr>
              <w:jc w:val="center"/>
            </w:pPr>
            <w:r/>
            <w:r>
              <w:rPr>
                <w:b/>
                <w:sz w:val="20"/>
              </w:rPr>
              <w:t>S. No.</w:t>
            </w:r>
          </w:p>
        </w:tc>
        <w:tc>
          <w:tcPr>
            <w:tcW w:type="dxa" w:w="2160"/>
            <w:shd w:val="clear" w:color="auto" w:fill="D9E1F2"/>
          </w:tcPr>
          <w:p>
            <w:pPr>
              <w:jc w:val="center"/>
            </w:pPr>
            <w:r/>
            <w:r>
              <w:rPr>
                <w:b/>
                <w:sz w:val="20"/>
              </w:rPr>
              <w:t>Stage</w:t>
            </w:r>
          </w:p>
        </w:tc>
        <w:tc>
          <w:tcPr>
            <w:tcW w:type="dxa" w:w="2160"/>
            <w:shd w:val="clear" w:color="auto" w:fill="D9E1F2"/>
          </w:tcPr>
          <w:p>
            <w:pPr>
              <w:jc w:val="center"/>
            </w:pPr>
            <w:r/>
            <w:r>
              <w:rPr>
                <w:b/>
                <w:sz w:val="20"/>
              </w:rPr>
              <w:t>Respondents</w:t>
            </w:r>
          </w:p>
        </w:tc>
        <w:tc>
          <w:tcPr>
            <w:tcW w:type="dxa" w:w="2160"/>
            <w:shd w:val="clear" w:color="auto" w:fill="D9E1F2"/>
          </w:tcPr>
          <w:p>
            <w:pPr>
              <w:jc w:val="center"/>
            </w:pPr>
            <w:r/>
            <w:r>
              <w:rPr>
                <w:b/>
                <w:sz w:val="20"/>
              </w:rPr>
              <w:t>No. of Respondents</w:t>
            </w:r>
          </w:p>
        </w:tc>
      </w:tr>
      <w:tr>
        <w:tc>
          <w:tcPr>
            <w:tcW w:type="dxa" w:w="2160"/>
          </w:tcPr>
          <w:p>
            <w:pPr>
              <w:jc w:val="center"/>
            </w:pPr>
            <w:r/>
            <w:r>
              <w:rPr>
                <w:sz w:val="20"/>
              </w:rPr>
              <w:t>1</w:t>
            </w:r>
          </w:p>
        </w:tc>
        <w:tc>
          <w:tcPr>
            <w:tcW w:type="dxa" w:w="2160"/>
          </w:tcPr>
          <w:p>
            <w:pPr>
              <w:jc w:val="center"/>
            </w:pPr>
            <w:r/>
            <w:r>
              <w:rPr>
                <w:sz w:val="20"/>
              </w:rPr>
              <w:t>Stage I — Farm Stage</w:t>
            </w:r>
          </w:p>
        </w:tc>
        <w:tc>
          <w:tcPr>
            <w:tcW w:type="dxa" w:w="2160"/>
          </w:tcPr>
          <w:p>
            <w:pPr>
              <w:jc w:val="center"/>
            </w:pPr>
            <w:r/>
            <w:r>
              <w:rPr>
                <w:sz w:val="20"/>
              </w:rPr>
              <w:t>Farmers</w:t>
            </w:r>
          </w:p>
        </w:tc>
        <w:tc>
          <w:tcPr>
            <w:tcW w:type="dxa" w:w="2160"/>
          </w:tcPr>
          <w:p>
            <w:pPr>
              <w:jc w:val="center"/>
            </w:pPr>
            <w:r/>
            <w:r>
              <w:rPr>
                <w:sz w:val="20"/>
              </w:rPr>
              <w:t>65</w:t>
            </w:r>
          </w:p>
        </w:tc>
      </w:tr>
      <w:tr>
        <w:tc>
          <w:tcPr>
            <w:tcW w:type="dxa" w:w="2160"/>
          </w:tcPr>
          <w:p>
            <w:pPr>
              <w:jc w:val="center"/>
            </w:pPr>
            <w:r/>
            <w:r>
              <w:rPr>
                <w:sz w:val="20"/>
              </w:rPr>
              <w:t>2</w:t>
            </w:r>
          </w:p>
        </w:tc>
        <w:tc>
          <w:tcPr>
            <w:tcW w:type="dxa" w:w="2160"/>
          </w:tcPr>
          <w:p>
            <w:pPr>
              <w:jc w:val="center"/>
            </w:pPr>
            <w:r/>
            <w:r>
              <w:rPr>
                <w:sz w:val="20"/>
              </w:rPr>
              <w:t>Stage II — Village Trader / Middlemen Stage</w:t>
            </w:r>
          </w:p>
        </w:tc>
        <w:tc>
          <w:tcPr>
            <w:tcW w:type="dxa" w:w="2160"/>
          </w:tcPr>
          <w:p>
            <w:pPr>
              <w:jc w:val="center"/>
            </w:pPr>
            <w:r/>
            <w:r>
              <w:rPr>
                <w:sz w:val="20"/>
              </w:rPr>
              <w:t>Village Traders</w:t>
            </w:r>
          </w:p>
        </w:tc>
        <w:tc>
          <w:tcPr>
            <w:tcW w:type="dxa" w:w="2160"/>
          </w:tcPr>
          <w:p>
            <w:pPr>
              <w:jc w:val="center"/>
            </w:pPr>
            <w:r/>
            <w:r>
              <w:rPr>
                <w:sz w:val="20"/>
              </w:rPr>
              <w:t>12</w:t>
            </w:r>
          </w:p>
        </w:tc>
      </w:tr>
      <w:tr>
        <w:tc>
          <w:tcPr>
            <w:tcW w:type="dxa" w:w="2160"/>
          </w:tcPr>
          <w:p>
            <w:pPr>
              <w:jc w:val="center"/>
            </w:pPr>
            <w:r/>
            <w:r>
              <w:rPr>
                <w:sz w:val="20"/>
              </w:rPr>
              <w:t>3</w:t>
            </w:r>
          </w:p>
        </w:tc>
        <w:tc>
          <w:tcPr>
            <w:tcW w:type="dxa" w:w="2160"/>
          </w:tcPr>
          <w:p>
            <w:pPr>
              <w:jc w:val="center"/>
            </w:pPr>
            <w:r/>
            <w:r>
              <w:rPr>
                <w:sz w:val="20"/>
              </w:rPr>
              <w:t>Stage III — Wholesale / Mandi Stage</w:t>
            </w:r>
          </w:p>
        </w:tc>
        <w:tc>
          <w:tcPr>
            <w:tcW w:type="dxa" w:w="2160"/>
          </w:tcPr>
          <w:p>
            <w:pPr>
              <w:jc w:val="center"/>
            </w:pPr>
            <w:r/>
            <w:r>
              <w:rPr>
                <w:sz w:val="20"/>
              </w:rPr>
              <w:t>Wholesalers / Commission Agents</w:t>
            </w:r>
          </w:p>
        </w:tc>
        <w:tc>
          <w:tcPr>
            <w:tcW w:type="dxa" w:w="2160"/>
          </w:tcPr>
          <w:p>
            <w:pPr>
              <w:jc w:val="center"/>
            </w:pPr>
            <w:r/>
            <w:r>
              <w:rPr>
                <w:sz w:val="20"/>
              </w:rPr>
              <w:t>21</w:t>
            </w:r>
          </w:p>
        </w:tc>
      </w:tr>
      <w:tr>
        <w:tc>
          <w:tcPr>
            <w:tcW w:type="dxa" w:w="2160"/>
          </w:tcPr>
          <w:p>
            <w:pPr>
              <w:jc w:val="center"/>
            </w:pPr>
            <w:r/>
            <w:r>
              <w:rPr>
                <w:sz w:val="20"/>
              </w:rPr>
              <w:t>4</w:t>
            </w:r>
          </w:p>
        </w:tc>
        <w:tc>
          <w:tcPr>
            <w:tcW w:type="dxa" w:w="2160"/>
          </w:tcPr>
          <w:p>
            <w:pPr>
              <w:jc w:val="center"/>
            </w:pPr>
            <w:r/>
            <w:r>
              <w:rPr>
                <w:sz w:val="20"/>
              </w:rPr>
              <w:t>Stage IV — Retail Stage</w:t>
            </w:r>
          </w:p>
        </w:tc>
        <w:tc>
          <w:tcPr>
            <w:tcW w:type="dxa" w:w="2160"/>
          </w:tcPr>
          <w:p>
            <w:pPr>
              <w:jc w:val="center"/>
            </w:pPr>
            <w:r/>
            <w:r>
              <w:rPr>
                <w:sz w:val="20"/>
              </w:rPr>
              <w:t>Retailers</w:t>
            </w:r>
          </w:p>
        </w:tc>
        <w:tc>
          <w:tcPr>
            <w:tcW w:type="dxa" w:w="2160"/>
          </w:tcPr>
          <w:p>
            <w:pPr>
              <w:jc w:val="center"/>
            </w:pPr>
            <w:r/>
            <w:r>
              <w:rPr>
                <w:sz w:val="20"/>
              </w:rPr>
              <w:t>13</w:t>
            </w:r>
          </w:p>
        </w:tc>
      </w:tr>
      <w:tr>
        <w:tc>
          <w:tcPr>
            <w:tcW w:type="dxa" w:w="2160"/>
          </w:tcPr>
          <w:p>
            <w:pPr>
              <w:jc w:val="center"/>
            </w:pPr>
            <w:r/>
            <w:r>
              <w:rPr>
                <w:sz w:val="20"/>
              </w:rPr>
              <w:t>5</w:t>
            </w:r>
          </w:p>
        </w:tc>
        <w:tc>
          <w:tcPr>
            <w:tcW w:type="dxa" w:w="2160"/>
          </w:tcPr>
          <w:p>
            <w:pPr>
              <w:jc w:val="center"/>
            </w:pPr>
            <w:r/>
            <w:r>
              <w:rPr>
                <w:sz w:val="20"/>
              </w:rPr>
              <w:t>Stage V — Transportation Stage</w:t>
            </w:r>
          </w:p>
        </w:tc>
        <w:tc>
          <w:tcPr>
            <w:tcW w:type="dxa" w:w="2160"/>
          </w:tcPr>
          <w:p>
            <w:pPr>
              <w:jc w:val="center"/>
            </w:pPr>
            <w:r/>
            <w:r>
              <w:rPr>
                <w:sz w:val="20"/>
              </w:rPr>
              <w:t>Transporters</w:t>
            </w:r>
          </w:p>
        </w:tc>
        <w:tc>
          <w:tcPr>
            <w:tcW w:type="dxa" w:w="2160"/>
          </w:tcPr>
          <w:p>
            <w:pPr>
              <w:jc w:val="center"/>
            </w:pPr>
            <w:r/>
            <w:r>
              <w:rPr>
                <w:sz w:val="20"/>
              </w:rPr>
              <w:t>19</w:t>
            </w:r>
          </w:p>
        </w:tc>
      </w:tr>
    </w:tbl>
    <w:p/>
    <w:p>
      <w:pPr>
        <w:pStyle w:val="Heading2"/>
      </w:pPr>
      <w:r>
        <w:rPr>
          <w:color w:val="000000"/>
        </w:rPr>
        <w:t>4.6.3  Administration of the Survey</w:t>
      </w:r>
    </w:p>
    <w:p>
      <w:pPr>
        <w:jc w:val="both"/>
      </w:pPr>
      <w:r>
        <w:rPr>
          <w:b w:val="0"/>
          <w:i w:val="0"/>
          <w:sz w:val="22"/>
        </w:rPr>
        <w:t>The questionnaire was administered to the different stakeholders in the Malta distribution channel: farmers (in the four primary Malta-producing districts of the Garhwal region — Pauri Garhwal, Tehri Garhwal, Rudraprayag and Chamoli), village traders (in clusters surrounding the major production areas), wholesalers and local commission agents (Dehradun and Haridwar wholesale mandis, which are the principal aggregation points for hill Malta and for onward dispatch to plains markets including Saharanpur and Delhi-Azadpur), retailers (district headquarters and adjoining towns) and transporters (covering the orchard-to-mandi and mandi-to-retail movement). A multi-stage sampling technique was adopted to draw the respondents, supplemented by snowball sampling in clusters where the initial frame was incomplete. Most data were collected through the scheduling method, in which the researcher directly visited the field and interacted with the respondents; this method is well suited to extensive enquiries with semi-literate respondents and yields reasonably reliable results (Gangrade, 2006; Shah, 1972; Pauline, 1968).</w:t>
      </w:r>
    </w:p>
    <w:p>
      <w:pPr>
        <w:jc w:val="both"/>
      </w:pPr>
      <w:r>
        <w:rPr>
          <w:b w:val="0"/>
          <w:i w:val="0"/>
          <w:sz w:val="22"/>
        </w:rPr>
        <w:t>In total, 1,300 valid and complete responses were received against 1,485 questionnaires distributed to the Malta distribution-channel stakeholders, yielding an overall response rate of 87.5 per cent. The stage-wise number of questionnaires administered and the response received are presented in Table 4.2.</w:t>
      </w:r>
    </w:p>
    <w:p>
      <w:pPr>
        <w:jc w:val="center"/>
      </w:pPr>
      <w:r>
        <w:rPr>
          <w:b/>
          <w:sz w:val="20"/>
        </w:rPr>
        <w:t>Table 4.2: Number of Questionnaires Administered and Response Rate — Malta Distribution Channel</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E1F2"/>
          </w:tcPr>
          <w:p>
            <w:pPr>
              <w:jc w:val="center"/>
            </w:pPr>
            <w:r/>
            <w:r>
              <w:rPr>
                <w:b/>
                <w:sz w:val="20"/>
              </w:rPr>
              <w:t>Stage</w:t>
            </w:r>
          </w:p>
        </w:tc>
        <w:tc>
          <w:tcPr>
            <w:tcW w:type="dxa" w:w="1728"/>
            <w:shd w:val="clear" w:color="auto" w:fill="D9E1F2"/>
          </w:tcPr>
          <w:p>
            <w:pPr>
              <w:jc w:val="center"/>
            </w:pPr>
            <w:r/>
            <w:r>
              <w:rPr>
                <w:b/>
                <w:sz w:val="20"/>
              </w:rPr>
              <w:t>Respondent</w:t>
            </w:r>
          </w:p>
        </w:tc>
        <w:tc>
          <w:tcPr>
            <w:tcW w:type="dxa" w:w="1728"/>
            <w:shd w:val="clear" w:color="auto" w:fill="D9E1F2"/>
          </w:tcPr>
          <w:p>
            <w:pPr>
              <w:jc w:val="center"/>
            </w:pPr>
            <w:r/>
            <w:r>
              <w:rPr>
                <w:b/>
                <w:sz w:val="20"/>
              </w:rPr>
              <w:t>Questionnaires Administered</w:t>
            </w:r>
          </w:p>
        </w:tc>
        <w:tc>
          <w:tcPr>
            <w:tcW w:type="dxa" w:w="1728"/>
            <w:shd w:val="clear" w:color="auto" w:fill="D9E1F2"/>
          </w:tcPr>
          <w:p>
            <w:pPr>
              <w:jc w:val="center"/>
            </w:pPr>
            <w:r/>
            <w:r>
              <w:rPr>
                <w:b/>
                <w:sz w:val="20"/>
              </w:rPr>
              <w:t>Final Response Received</w:t>
            </w:r>
          </w:p>
        </w:tc>
        <w:tc>
          <w:tcPr>
            <w:tcW w:type="dxa" w:w="1728"/>
            <w:shd w:val="clear" w:color="auto" w:fill="D9E1F2"/>
          </w:tcPr>
          <w:p>
            <w:pPr>
              <w:jc w:val="center"/>
            </w:pPr>
            <w:r/>
            <w:r>
              <w:rPr>
                <w:b/>
                <w:sz w:val="20"/>
              </w:rPr>
              <w:t>Response Rate %</w:t>
            </w:r>
          </w:p>
        </w:tc>
      </w:tr>
      <w:tr>
        <w:tc>
          <w:tcPr>
            <w:tcW w:type="dxa" w:w="1728"/>
          </w:tcPr>
          <w:p>
            <w:pPr>
              <w:jc w:val="center"/>
            </w:pPr>
            <w:r/>
            <w:r>
              <w:rPr>
                <w:sz w:val="20"/>
              </w:rPr>
              <w:t>Stage I — Farm Stage</w:t>
            </w:r>
          </w:p>
        </w:tc>
        <w:tc>
          <w:tcPr>
            <w:tcW w:type="dxa" w:w="1728"/>
          </w:tcPr>
          <w:p>
            <w:pPr>
              <w:jc w:val="center"/>
            </w:pPr>
            <w:r/>
            <w:r>
              <w:rPr>
                <w:sz w:val="20"/>
              </w:rPr>
              <w:t>Farmers</w:t>
            </w:r>
          </w:p>
        </w:tc>
        <w:tc>
          <w:tcPr>
            <w:tcW w:type="dxa" w:w="1728"/>
          </w:tcPr>
          <w:p>
            <w:pPr>
              <w:jc w:val="center"/>
            </w:pPr>
            <w:r/>
            <w:r>
              <w:rPr>
                <w:sz w:val="20"/>
              </w:rPr>
              <w:t>725</w:t>
            </w:r>
          </w:p>
        </w:tc>
        <w:tc>
          <w:tcPr>
            <w:tcW w:type="dxa" w:w="1728"/>
          </w:tcPr>
          <w:p>
            <w:pPr>
              <w:jc w:val="center"/>
            </w:pPr>
            <w:r/>
            <w:r>
              <w:rPr>
                <w:sz w:val="20"/>
              </w:rPr>
              <w:t>650</w:t>
            </w:r>
          </w:p>
        </w:tc>
        <w:tc>
          <w:tcPr>
            <w:tcW w:type="dxa" w:w="1728"/>
          </w:tcPr>
          <w:p>
            <w:pPr>
              <w:jc w:val="center"/>
            </w:pPr>
            <w:r/>
            <w:r>
              <w:rPr>
                <w:sz w:val="20"/>
              </w:rPr>
              <w:t>89.66%</w:t>
            </w:r>
          </w:p>
        </w:tc>
      </w:tr>
      <w:tr>
        <w:tc>
          <w:tcPr>
            <w:tcW w:type="dxa" w:w="1728"/>
          </w:tcPr>
          <w:p>
            <w:pPr>
              <w:jc w:val="center"/>
            </w:pPr>
            <w:r/>
            <w:r>
              <w:rPr>
                <w:sz w:val="20"/>
              </w:rPr>
              <w:t>Stage II — Village Trader / Middlemen Stage</w:t>
            </w:r>
          </w:p>
        </w:tc>
        <w:tc>
          <w:tcPr>
            <w:tcW w:type="dxa" w:w="1728"/>
          </w:tcPr>
          <w:p>
            <w:pPr>
              <w:jc w:val="center"/>
            </w:pPr>
            <w:r/>
            <w:r>
              <w:rPr>
                <w:sz w:val="20"/>
              </w:rPr>
              <w:t>Village Traders</w:t>
            </w:r>
          </w:p>
        </w:tc>
        <w:tc>
          <w:tcPr>
            <w:tcW w:type="dxa" w:w="1728"/>
          </w:tcPr>
          <w:p>
            <w:pPr>
              <w:jc w:val="center"/>
            </w:pPr>
            <w:r/>
            <w:r>
              <w:rPr>
                <w:sz w:val="20"/>
              </w:rPr>
              <w:t>135</w:t>
            </w:r>
          </w:p>
        </w:tc>
        <w:tc>
          <w:tcPr>
            <w:tcW w:type="dxa" w:w="1728"/>
          </w:tcPr>
          <w:p>
            <w:pPr>
              <w:jc w:val="center"/>
            </w:pPr>
            <w:r/>
            <w:r>
              <w:rPr>
                <w:sz w:val="20"/>
              </w:rPr>
              <w:t>117</w:t>
            </w:r>
          </w:p>
        </w:tc>
        <w:tc>
          <w:tcPr>
            <w:tcW w:type="dxa" w:w="1728"/>
          </w:tcPr>
          <w:p>
            <w:pPr>
              <w:jc w:val="center"/>
            </w:pPr>
            <w:r/>
            <w:r>
              <w:rPr>
                <w:sz w:val="20"/>
              </w:rPr>
              <w:t>86.67%</w:t>
            </w:r>
          </w:p>
        </w:tc>
      </w:tr>
      <w:tr>
        <w:tc>
          <w:tcPr>
            <w:tcW w:type="dxa" w:w="1728"/>
          </w:tcPr>
          <w:p>
            <w:pPr>
              <w:jc w:val="center"/>
            </w:pPr>
            <w:r/>
            <w:r>
              <w:rPr>
                <w:sz w:val="20"/>
              </w:rPr>
              <w:t>Stage III — Wholesale / Mandi Stage</w:t>
            </w:r>
          </w:p>
        </w:tc>
        <w:tc>
          <w:tcPr>
            <w:tcW w:type="dxa" w:w="1728"/>
          </w:tcPr>
          <w:p>
            <w:pPr>
              <w:jc w:val="center"/>
            </w:pPr>
            <w:r/>
            <w:r>
              <w:rPr>
                <w:sz w:val="20"/>
              </w:rPr>
              <w:t>Wholesalers / Commission Agents</w:t>
            </w:r>
          </w:p>
        </w:tc>
        <w:tc>
          <w:tcPr>
            <w:tcW w:type="dxa" w:w="1728"/>
          </w:tcPr>
          <w:p>
            <w:pPr>
              <w:jc w:val="center"/>
            </w:pPr>
            <w:r/>
            <w:r>
              <w:rPr>
                <w:sz w:val="20"/>
              </w:rPr>
              <w:t>240</w:t>
            </w:r>
          </w:p>
        </w:tc>
        <w:tc>
          <w:tcPr>
            <w:tcW w:type="dxa" w:w="1728"/>
          </w:tcPr>
          <w:p>
            <w:pPr>
              <w:jc w:val="center"/>
            </w:pPr>
            <w:r/>
            <w:r>
              <w:rPr>
                <w:sz w:val="20"/>
              </w:rPr>
              <w:t>208</w:t>
            </w:r>
          </w:p>
        </w:tc>
        <w:tc>
          <w:tcPr>
            <w:tcW w:type="dxa" w:w="1728"/>
          </w:tcPr>
          <w:p>
            <w:pPr>
              <w:jc w:val="center"/>
            </w:pPr>
            <w:r/>
            <w:r>
              <w:rPr>
                <w:sz w:val="20"/>
              </w:rPr>
              <w:t>86.67%</w:t>
            </w:r>
          </w:p>
        </w:tc>
      </w:tr>
      <w:tr>
        <w:tc>
          <w:tcPr>
            <w:tcW w:type="dxa" w:w="1728"/>
          </w:tcPr>
          <w:p>
            <w:pPr>
              <w:jc w:val="center"/>
            </w:pPr>
            <w:r/>
            <w:r>
              <w:rPr>
                <w:sz w:val="20"/>
              </w:rPr>
              <w:t>Stage IV — Retail Stage</w:t>
            </w:r>
          </w:p>
        </w:tc>
        <w:tc>
          <w:tcPr>
            <w:tcW w:type="dxa" w:w="1728"/>
          </w:tcPr>
          <w:p>
            <w:pPr>
              <w:jc w:val="center"/>
            </w:pPr>
            <w:r/>
            <w:r>
              <w:rPr>
                <w:sz w:val="20"/>
              </w:rPr>
              <w:t>Retailers</w:t>
            </w:r>
          </w:p>
        </w:tc>
        <w:tc>
          <w:tcPr>
            <w:tcW w:type="dxa" w:w="1728"/>
          </w:tcPr>
          <w:p>
            <w:pPr>
              <w:jc w:val="center"/>
            </w:pPr>
            <w:r/>
            <w:r>
              <w:rPr>
                <w:sz w:val="20"/>
              </w:rPr>
              <w:t>150</w:t>
            </w:r>
          </w:p>
        </w:tc>
        <w:tc>
          <w:tcPr>
            <w:tcW w:type="dxa" w:w="1728"/>
          </w:tcPr>
          <w:p>
            <w:pPr>
              <w:jc w:val="center"/>
            </w:pPr>
            <w:r/>
            <w:r>
              <w:rPr>
                <w:sz w:val="20"/>
              </w:rPr>
              <w:t>130</w:t>
            </w:r>
          </w:p>
        </w:tc>
        <w:tc>
          <w:tcPr>
            <w:tcW w:type="dxa" w:w="1728"/>
          </w:tcPr>
          <w:p>
            <w:pPr>
              <w:jc w:val="center"/>
            </w:pPr>
            <w:r/>
            <w:r>
              <w:rPr>
                <w:sz w:val="20"/>
              </w:rPr>
              <w:t>86.67%</w:t>
            </w:r>
          </w:p>
        </w:tc>
      </w:tr>
      <w:tr>
        <w:tc>
          <w:tcPr>
            <w:tcW w:type="dxa" w:w="1728"/>
          </w:tcPr>
          <w:p>
            <w:pPr>
              <w:jc w:val="center"/>
            </w:pPr>
            <w:r/>
            <w:r>
              <w:rPr>
                <w:sz w:val="20"/>
              </w:rPr>
              <w:t>Stage V — Transportation Stage</w:t>
            </w:r>
          </w:p>
        </w:tc>
        <w:tc>
          <w:tcPr>
            <w:tcW w:type="dxa" w:w="1728"/>
          </w:tcPr>
          <w:p>
            <w:pPr>
              <w:jc w:val="center"/>
            </w:pPr>
            <w:r/>
            <w:r>
              <w:rPr>
                <w:sz w:val="20"/>
              </w:rPr>
              <w:t>Transporters</w:t>
            </w:r>
          </w:p>
        </w:tc>
        <w:tc>
          <w:tcPr>
            <w:tcW w:type="dxa" w:w="1728"/>
          </w:tcPr>
          <w:p>
            <w:pPr>
              <w:jc w:val="center"/>
            </w:pPr>
            <w:r/>
            <w:r>
              <w:rPr>
                <w:sz w:val="20"/>
              </w:rPr>
              <w:t>160</w:t>
            </w:r>
          </w:p>
        </w:tc>
        <w:tc>
          <w:tcPr>
            <w:tcW w:type="dxa" w:w="1728"/>
          </w:tcPr>
          <w:p>
            <w:pPr>
              <w:jc w:val="center"/>
            </w:pPr>
            <w:r/>
            <w:r>
              <w:rPr>
                <w:sz w:val="20"/>
              </w:rPr>
              <w:t>130</w:t>
            </w:r>
          </w:p>
        </w:tc>
        <w:tc>
          <w:tcPr>
            <w:tcW w:type="dxa" w:w="1728"/>
          </w:tcPr>
          <w:p>
            <w:pPr>
              <w:jc w:val="center"/>
            </w:pPr>
            <w:r/>
            <w:r>
              <w:rPr>
                <w:sz w:val="20"/>
              </w:rPr>
              <w:t>81.25%</w:t>
            </w:r>
          </w:p>
        </w:tc>
      </w:tr>
      <w:tr>
        <w:tc>
          <w:tcPr>
            <w:tcW w:type="dxa" w:w="1728"/>
          </w:tcPr>
          <w:p>
            <w:pPr>
              <w:jc w:val="center"/>
            </w:pPr>
            <w:r/>
            <w:r>
              <w:rPr>
                <w:sz w:val="20"/>
              </w:rPr>
              <w:t>Stage VI — Expert / Official Validation</w:t>
            </w:r>
          </w:p>
        </w:tc>
        <w:tc>
          <w:tcPr>
            <w:tcW w:type="dxa" w:w="1728"/>
          </w:tcPr>
          <w:p>
            <w:pPr>
              <w:jc w:val="center"/>
            </w:pPr>
            <w:r/>
            <w:r>
              <w:rPr>
                <w:sz w:val="20"/>
              </w:rPr>
              <w:t>Experts / Officials (RO 3)</w:t>
            </w:r>
          </w:p>
        </w:tc>
        <w:tc>
          <w:tcPr>
            <w:tcW w:type="dxa" w:w="1728"/>
          </w:tcPr>
          <w:p>
            <w:pPr>
              <w:jc w:val="center"/>
            </w:pPr>
            <w:r/>
            <w:r>
              <w:rPr>
                <w:sz w:val="20"/>
              </w:rPr>
              <w:t>75</w:t>
            </w:r>
          </w:p>
        </w:tc>
        <w:tc>
          <w:tcPr>
            <w:tcW w:type="dxa" w:w="1728"/>
          </w:tcPr>
          <w:p>
            <w:pPr>
              <w:jc w:val="center"/>
            </w:pPr>
            <w:r/>
            <w:r>
              <w:rPr>
                <w:sz w:val="20"/>
              </w:rPr>
              <w:t>65</w:t>
            </w:r>
          </w:p>
        </w:tc>
        <w:tc>
          <w:tcPr>
            <w:tcW w:type="dxa" w:w="1728"/>
          </w:tcPr>
          <w:p>
            <w:pPr>
              <w:jc w:val="center"/>
            </w:pPr>
            <w:r/>
            <w:r>
              <w:rPr>
                <w:sz w:val="20"/>
              </w:rPr>
              <w:t>86.67%</w:t>
            </w:r>
          </w:p>
        </w:tc>
      </w:tr>
      <w:tr>
        <w:tc>
          <w:tcPr>
            <w:tcW w:type="dxa" w:w="1728"/>
          </w:tcPr>
          <w:p>
            <w:pPr>
              <w:jc w:val="center"/>
            </w:pPr>
            <w:r/>
            <w:r>
              <w:rPr>
                <w:sz w:val="20"/>
              </w:rPr>
              <w:t>Total</w:t>
            </w:r>
          </w:p>
        </w:tc>
        <w:tc>
          <w:tcPr>
            <w:tcW w:type="dxa" w:w="1728"/>
          </w:tcPr>
          <w:p>
            <w:pPr>
              <w:jc w:val="center"/>
            </w:pPr>
            <w:r/>
            <w:r>
              <w:rPr>
                <w:sz w:val="20"/>
              </w:rPr>
            </w:r>
          </w:p>
        </w:tc>
        <w:tc>
          <w:tcPr>
            <w:tcW w:type="dxa" w:w="1728"/>
          </w:tcPr>
          <w:p>
            <w:pPr>
              <w:jc w:val="center"/>
            </w:pPr>
            <w:r/>
            <w:r>
              <w:rPr>
                <w:sz w:val="20"/>
              </w:rPr>
              <w:t>1,485</w:t>
            </w:r>
          </w:p>
        </w:tc>
        <w:tc>
          <w:tcPr>
            <w:tcW w:type="dxa" w:w="1728"/>
          </w:tcPr>
          <w:p>
            <w:pPr>
              <w:jc w:val="center"/>
            </w:pPr>
            <w:r/>
            <w:r>
              <w:rPr>
                <w:sz w:val="20"/>
              </w:rPr>
              <w:t>1,300</w:t>
            </w:r>
          </w:p>
        </w:tc>
        <w:tc>
          <w:tcPr>
            <w:tcW w:type="dxa" w:w="1728"/>
          </w:tcPr>
          <w:p>
            <w:pPr>
              <w:jc w:val="center"/>
            </w:pPr>
            <w:r/>
            <w:r>
              <w:rPr>
                <w:sz w:val="20"/>
              </w:rPr>
              <w:t>87.54%</w:t>
            </w:r>
          </w:p>
        </w:tc>
      </w:tr>
    </w:tbl>
    <w:p/>
    <w:p>
      <w:pPr>
        <w:jc w:val="both"/>
      </w:pPr>
      <w:r>
        <w:rPr>
          <w:b w:val="0"/>
          <w:i w:val="0"/>
          <w:sz w:val="22"/>
        </w:rPr>
        <w:t>The detailed sample distribution of respondents from the four Garhwal districts is presented in Table 4.3.</w:t>
      </w:r>
    </w:p>
    <w:p>
      <w:pPr>
        <w:jc w:val="center"/>
      </w:pPr>
      <w:r>
        <w:rPr>
          <w:b/>
          <w:sz w:val="20"/>
        </w:rPr>
        <w:t>Table 4.3: Detailed Sample Distribution of Respondents — Stage Wise (Malta Distribution Channel, Garhwal Region)</w:t>
      </w:r>
    </w:p>
    <w:tbl>
      <w:tblPr>
        <w:tblStyle w:val="LightGrid-Accent1"/>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1F2"/>
          </w:tcPr>
          <w:p>
            <w:pPr>
              <w:jc w:val="center"/>
            </w:pPr>
            <w:r/>
            <w:r>
              <w:rPr>
                <w:b/>
                <w:sz w:val="20"/>
              </w:rPr>
              <w:t>District (Garhwal)</w:t>
            </w:r>
          </w:p>
        </w:tc>
        <w:tc>
          <w:tcPr>
            <w:tcW w:type="dxa" w:w="1234"/>
            <w:shd w:val="clear" w:color="auto" w:fill="D9E1F2"/>
          </w:tcPr>
          <w:p>
            <w:pPr>
              <w:jc w:val="center"/>
            </w:pPr>
            <w:r/>
            <w:r>
              <w:rPr>
                <w:b/>
                <w:sz w:val="20"/>
              </w:rPr>
              <w:t>Stage I — Farmers</w:t>
            </w:r>
          </w:p>
        </w:tc>
        <w:tc>
          <w:tcPr>
            <w:tcW w:type="dxa" w:w="1234"/>
            <w:shd w:val="clear" w:color="auto" w:fill="D9E1F2"/>
          </w:tcPr>
          <w:p>
            <w:pPr>
              <w:jc w:val="center"/>
            </w:pPr>
            <w:r/>
            <w:r>
              <w:rPr>
                <w:b/>
                <w:sz w:val="20"/>
              </w:rPr>
              <w:t>Stage II — Village Traders</w:t>
            </w:r>
          </w:p>
        </w:tc>
        <w:tc>
          <w:tcPr>
            <w:tcW w:type="dxa" w:w="1234"/>
            <w:shd w:val="clear" w:color="auto" w:fill="D9E1F2"/>
          </w:tcPr>
          <w:p>
            <w:pPr>
              <w:jc w:val="center"/>
            </w:pPr>
            <w:r/>
            <w:r>
              <w:rPr>
                <w:b/>
                <w:sz w:val="20"/>
              </w:rPr>
              <w:t>Stage III — Wholesalers + Commission Agents</w:t>
            </w:r>
          </w:p>
        </w:tc>
        <w:tc>
          <w:tcPr>
            <w:tcW w:type="dxa" w:w="1234"/>
            <w:shd w:val="clear" w:color="auto" w:fill="D9E1F2"/>
          </w:tcPr>
          <w:p>
            <w:pPr>
              <w:jc w:val="center"/>
            </w:pPr>
            <w:r/>
            <w:r>
              <w:rPr>
                <w:b/>
                <w:sz w:val="20"/>
              </w:rPr>
              <w:t>Stage IV — Retailers</w:t>
            </w:r>
          </w:p>
        </w:tc>
        <w:tc>
          <w:tcPr>
            <w:tcW w:type="dxa" w:w="1234"/>
            <w:shd w:val="clear" w:color="auto" w:fill="D9E1F2"/>
          </w:tcPr>
          <w:p>
            <w:pPr>
              <w:jc w:val="center"/>
            </w:pPr>
            <w:r/>
            <w:r>
              <w:rPr>
                <w:b/>
                <w:sz w:val="20"/>
              </w:rPr>
              <w:t>Stage V — Transporters</w:t>
            </w:r>
          </w:p>
        </w:tc>
        <w:tc>
          <w:tcPr>
            <w:tcW w:type="dxa" w:w="1234"/>
            <w:shd w:val="clear" w:color="auto" w:fill="D9E1F2"/>
          </w:tcPr>
          <w:p>
            <w:pPr>
              <w:jc w:val="center"/>
            </w:pPr>
            <w:r/>
            <w:r>
              <w:rPr>
                <w:b/>
                <w:sz w:val="20"/>
              </w:rPr>
              <w:t>Total</w:t>
            </w:r>
          </w:p>
        </w:tc>
      </w:tr>
      <w:tr>
        <w:tc>
          <w:tcPr>
            <w:tcW w:type="dxa" w:w="1234"/>
          </w:tcPr>
          <w:p>
            <w:pPr>
              <w:jc w:val="center"/>
            </w:pPr>
            <w:r/>
            <w:r>
              <w:rPr>
                <w:sz w:val="20"/>
              </w:rPr>
              <w:t>Pauri Garhwal</w:t>
            </w:r>
          </w:p>
        </w:tc>
        <w:tc>
          <w:tcPr>
            <w:tcW w:type="dxa" w:w="1234"/>
          </w:tcPr>
          <w:p>
            <w:pPr>
              <w:jc w:val="center"/>
            </w:pPr>
            <w:r/>
            <w:r>
              <w:rPr>
                <w:sz w:val="20"/>
              </w:rPr>
              <w:t>152</w:t>
            </w:r>
          </w:p>
        </w:tc>
        <w:tc>
          <w:tcPr>
            <w:tcW w:type="dxa" w:w="1234"/>
          </w:tcPr>
          <w:p>
            <w:pPr>
              <w:jc w:val="center"/>
            </w:pPr>
            <w:r/>
            <w:r>
              <w:rPr>
                <w:sz w:val="20"/>
              </w:rPr>
              <w:t>25</w:t>
            </w:r>
          </w:p>
        </w:tc>
        <w:tc>
          <w:tcPr>
            <w:tcW w:type="dxa" w:w="1234"/>
          </w:tcPr>
          <w:p>
            <w:pPr>
              <w:jc w:val="center"/>
            </w:pPr>
            <w:r/>
            <w:r>
              <w:rPr>
                <w:sz w:val="20"/>
              </w:rPr>
              <w:t>34 (W) + 15 (CA) = 49</w:t>
            </w:r>
          </w:p>
        </w:tc>
        <w:tc>
          <w:tcPr>
            <w:tcW w:type="dxa" w:w="1234"/>
          </w:tcPr>
          <w:p>
            <w:pPr>
              <w:jc w:val="center"/>
            </w:pPr>
            <w:r/>
            <w:r>
              <w:rPr>
                <w:sz w:val="20"/>
              </w:rPr>
              <w:t>29</w:t>
            </w:r>
          </w:p>
        </w:tc>
        <w:tc>
          <w:tcPr>
            <w:tcW w:type="dxa" w:w="1234"/>
          </w:tcPr>
          <w:p>
            <w:pPr>
              <w:jc w:val="center"/>
            </w:pPr>
            <w:r/>
            <w:r>
              <w:rPr>
                <w:sz w:val="20"/>
              </w:rPr>
              <w:t>34</w:t>
            </w:r>
          </w:p>
        </w:tc>
        <w:tc>
          <w:tcPr>
            <w:tcW w:type="dxa" w:w="1234"/>
          </w:tcPr>
          <w:p>
            <w:pPr>
              <w:jc w:val="center"/>
            </w:pPr>
            <w:r/>
            <w:r>
              <w:rPr>
                <w:sz w:val="20"/>
              </w:rPr>
              <w:t>311</w:t>
            </w:r>
          </w:p>
        </w:tc>
      </w:tr>
      <w:tr>
        <w:tc>
          <w:tcPr>
            <w:tcW w:type="dxa" w:w="1234"/>
          </w:tcPr>
          <w:p>
            <w:pPr>
              <w:jc w:val="center"/>
            </w:pPr>
            <w:r/>
            <w:r>
              <w:rPr>
                <w:sz w:val="20"/>
              </w:rPr>
              <w:t>Tehri Garhwal</w:t>
            </w:r>
          </w:p>
        </w:tc>
        <w:tc>
          <w:tcPr>
            <w:tcW w:type="dxa" w:w="1234"/>
          </w:tcPr>
          <w:p>
            <w:pPr>
              <w:jc w:val="center"/>
            </w:pPr>
            <w:r/>
            <w:r>
              <w:rPr>
                <w:sz w:val="20"/>
              </w:rPr>
              <w:t>166</w:t>
            </w:r>
          </w:p>
        </w:tc>
        <w:tc>
          <w:tcPr>
            <w:tcW w:type="dxa" w:w="1234"/>
          </w:tcPr>
          <w:p>
            <w:pPr>
              <w:jc w:val="center"/>
            </w:pPr>
            <w:r/>
            <w:r>
              <w:rPr>
                <w:sz w:val="20"/>
              </w:rPr>
              <w:t>34</w:t>
            </w:r>
          </w:p>
        </w:tc>
        <w:tc>
          <w:tcPr>
            <w:tcW w:type="dxa" w:w="1234"/>
          </w:tcPr>
          <w:p>
            <w:pPr>
              <w:jc w:val="center"/>
            </w:pPr>
            <w:r/>
            <w:r>
              <w:rPr>
                <w:sz w:val="20"/>
              </w:rPr>
              <w:t>29 (W) + 18 (CA) = 47</w:t>
            </w:r>
          </w:p>
        </w:tc>
        <w:tc>
          <w:tcPr>
            <w:tcW w:type="dxa" w:w="1234"/>
          </w:tcPr>
          <w:p>
            <w:pPr>
              <w:jc w:val="center"/>
            </w:pPr>
            <w:r/>
            <w:r>
              <w:rPr>
                <w:sz w:val="20"/>
              </w:rPr>
              <w:t>30</w:t>
            </w:r>
          </w:p>
        </w:tc>
        <w:tc>
          <w:tcPr>
            <w:tcW w:type="dxa" w:w="1234"/>
          </w:tcPr>
          <w:p>
            <w:pPr>
              <w:jc w:val="center"/>
            </w:pPr>
            <w:r/>
            <w:r>
              <w:rPr>
                <w:sz w:val="20"/>
              </w:rPr>
              <w:t>41</w:t>
            </w:r>
          </w:p>
        </w:tc>
        <w:tc>
          <w:tcPr>
            <w:tcW w:type="dxa" w:w="1234"/>
          </w:tcPr>
          <w:p>
            <w:pPr>
              <w:jc w:val="center"/>
            </w:pPr>
            <w:r/>
            <w:r>
              <w:rPr>
                <w:sz w:val="20"/>
              </w:rPr>
              <w:t>333</w:t>
            </w:r>
          </w:p>
        </w:tc>
      </w:tr>
      <w:tr>
        <w:tc>
          <w:tcPr>
            <w:tcW w:type="dxa" w:w="1234"/>
          </w:tcPr>
          <w:p>
            <w:pPr>
              <w:jc w:val="center"/>
            </w:pPr>
            <w:r/>
            <w:r>
              <w:rPr>
                <w:sz w:val="20"/>
              </w:rPr>
              <w:t>Rudraprayag</w:t>
            </w:r>
          </w:p>
        </w:tc>
        <w:tc>
          <w:tcPr>
            <w:tcW w:type="dxa" w:w="1234"/>
          </w:tcPr>
          <w:p>
            <w:pPr>
              <w:jc w:val="center"/>
            </w:pPr>
            <w:r/>
            <w:r>
              <w:rPr>
                <w:sz w:val="20"/>
              </w:rPr>
              <w:t>165</w:t>
            </w:r>
          </w:p>
        </w:tc>
        <w:tc>
          <w:tcPr>
            <w:tcW w:type="dxa" w:w="1234"/>
          </w:tcPr>
          <w:p>
            <w:pPr>
              <w:jc w:val="center"/>
            </w:pPr>
            <w:r/>
            <w:r>
              <w:rPr>
                <w:sz w:val="20"/>
              </w:rPr>
              <w:t>22</w:t>
            </w:r>
          </w:p>
        </w:tc>
        <w:tc>
          <w:tcPr>
            <w:tcW w:type="dxa" w:w="1234"/>
          </w:tcPr>
          <w:p>
            <w:pPr>
              <w:jc w:val="center"/>
            </w:pPr>
            <w:r/>
            <w:r>
              <w:rPr>
                <w:sz w:val="20"/>
              </w:rPr>
              <w:t>28 (W) + 21 (CA) = 49</w:t>
            </w:r>
          </w:p>
        </w:tc>
        <w:tc>
          <w:tcPr>
            <w:tcW w:type="dxa" w:w="1234"/>
          </w:tcPr>
          <w:p>
            <w:pPr>
              <w:jc w:val="center"/>
            </w:pPr>
            <w:r/>
            <w:r>
              <w:rPr>
                <w:sz w:val="20"/>
              </w:rPr>
              <w:t>37</w:t>
            </w:r>
          </w:p>
        </w:tc>
        <w:tc>
          <w:tcPr>
            <w:tcW w:type="dxa" w:w="1234"/>
          </w:tcPr>
          <w:p>
            <w:pPr>
              <w:jc w:val="center"/>
            </w:pPr>
            <w:r/>
            <w:r>
              <w:rPr>
                <w:sz w:val="20"/>
              </w:rPr>
              <w:t>34</w:t>
            </w:r>
          </w:p>
        </w:tc>
        <w:tc>
          <w:tcPr>
            <w:tcW w:type="dxa" w:w="1234"/>
          </w:tcPr>
          <w:p>
            <w:pPr>
              <w:jc w:val="center"/>
            </w:pPr>
            <w:r/>
            <w:r>
              <w:rPr>
                <w:sz w:val="20"/>
              </w:rPr>
              <w:t>316</w:t>
            </w:r>
          </w:p>
        </w:tc>
      </w:tr>
      <w:tr>
        <w:tc>
          <w:tcPr>
            <w:tcW w:type="dxa" w:w="1234"/>
          </w:tcPr>
          <w:p>
            <w:pPr>
              <w:jc w:val="center"/>
            </w:pPr>
            <w:r/>
            <w:r>
              <w:rPr>
                <w:sz w:val="20"/>
              </w:rPr>
              <w:t>Chamoli</w:t>
            </w:r>
          </w:p>
        </w:tc>
        <w:tc>
          <w:tcPr>
            <w:tcW w:type="dxa" w:w="1234"/>
          </w:tcPr>
          <w:p>
            <w:pPr>
              <w:jc w:val="center"/>
            </w:pPr>
            <w:r/>
            <w:r>
              <w:rPr>
                <w:sz w:val="20"/>
              </w:rPr>
              <w:t>167</w:t>
            </w:r>
          </w:p>
        </w:tc>
        <w:tc>
          <w:tcPr>
            <w:tcW w:type="dxa" w:w="1234"/>
          </w:tcPr>
          <w:p>
            <w:pPr>
              <w:jc w:val="center"/>
            </w:pPr>
            <w:r/>
            <w:r>
              <w:rPr>
                <w:sz w:val="20"/>
              </w:rPr>
              <w:t>36</w:t>
            </w:r>
          </w:p>
        </w:tc>
        <w:tc>
          <w:tcPr>
            <w:tcW w:type="dxa" w:w="1234"/>
          </w:tcPr>
          <w:p>
            <w:pPr>
              <w:jc w:val="center"/>
            </w:pPr>
            <w:r/>
            <w:r>
              <w:rPr>
                <w:sz w:val="20"/>
              </w:rPr>
              <w:t>39 (W) + 24 (CA) = 63</w:t>
            </w:r>
          </w:p>
        </w:tc>
        <w:tc>
          <w:tcPr>
            <w:tcW w:type="dxa" w:w="1234"/>
          </w:tcPr>
          <w:p>
            <w:pPr>
              <w:jc w:val="center"/>
            </w:pPr>
            <w:r/>
            <w:r>
              <w:rPr>
                <w:sz w:val="20"/>
              </w:rPr>
              <w:t>34</w:t>
            </w:r>
          </w:p>
        </w:tc>
        <w:tc>
          <w:tcPr>
            <w:tcW w:type="dxa" w:w="1234"/>
          </w:tcPr>
          <w:p>
            <w:pPr>
              <w:jc w:val="center"/>
            </w:pPr>
            <w:r/>
            <w:r>
              <w:rPr>
                <w:sz w:val="20"/>
              </w:rPr>
              <w:t>21</w:t>
            </w:r>
          </w:p>
        </w:tc>
        <w:tc>
          <w:tcPr>
            <w:tcW w:type="dxa" w:w="1234"/>
          </w:tcPr>
          <w:p>
            <w:pPr>
              <w:jc w:val="center"/>
            </w:pPr>
            <w:r/>
            <w:r>
              <w:rPr>
                <w:sz w:val="20"/>
              </w:rPr>
              <w:t>340</w:t>
            </w:r>
          </w:p>
        </w:tc>
      </w:tr>
      <w:tr>
        <w:tc>
          <w:tcPr>
            <w:tcW w:type="dxa" w:w="1234"/>
          </w:tcPr>
          <w:p>
            <w:pPr>
              <w:jc w:val="center"/>
            </w:pPr>
            <w:r/>
            <w:r>
              <w:rPr>
                <w:sz w:val="20"/>
              </w:rPr>
              <w:t>Total</w:t>
            </w:r>
          </w:p>
        </w:tc>
        <w:tc>
          <w:tcPr>
            <w:tcW w:type="dxa" w:w="1234"/>
          </w:tcPr>
          <w:p>
            <w:pPr>
              <w:jc w:val="center"/>
            </w:pPr>
            <w:r/>
            <w:r>
              <w:rPr>
                <w:sz w:val="20"/>
              </w:rPr>
              <w:t>650</w:t>
            </w:r>
          </w:p>
        </w:tc>
        <w:tc>
          <w:tcPr>
            <w:tcW w:type="dxa" w:w="1234"/>
          </w:tcPr>
          <w:p>
            <w:pPr>
              <w:jc w:val="center"/>
            </w:pPr>
            <w:r/>
            <w:r>
              <w:rPr>
                <w:sz w:val="20"/>
              </w:rPr>
              <w:t>117</w:t>
            </w:r>
          </w:p>
        </w:tc>
        <w:tc>
          <w:tcPr>
            <w:tcW w:type="dxa" w:w="1234"/>
          </w:tcPr>
          <w:p>
            <w:pPr>
              <w:jc w:val="center"/>
            </w:pPr>
            <w:r/>
            <w:r>
              <w:rPr>
                <w:sz w:val="20"/>
              </w:rPr>
              <w:t>208</w:t>
            </w:r>
          </w:p>
        </w:tc>
        <w:tc>
          <w:tcPr>
            <w:tcW w:type="dxa" w:w="1234"/>
          </w:tcPr>
          <w:p>
            <w:pPr>
              <w:jc w:val="center"/>
            </w:pPr>
            <w:r/>
            <w:r>
              <w:rPr>
                <w:sz w:val="20"/>
              </w:rPr>
              <w:t>130</w:t>
            </w:r>
          </w:p>
        </w:tc>
        <w:tc>
          <w:tcPr>
            <w:tcW w:type="dxa" w:w="1234"/>
          </w:tcPr>
          <w:p>
            <w:pPr>
              <w:jc w:val="center"/>
            </w:pPr>
            <w:r/>
            <w:r>
              <w:rPr>
                <w:sz w:val="20"/>
              </w:rPr>
              <w:t>130</w:t>
            </w:r>
          </w:p>
        </w:tc>
        <w:tc>
          <w:tcPr>
            <w:tcW w:type="dxa" w:w="1234"/>
          </w:tcPr>
          <w:p>
            <w:pPr>
              <w:jc w:val="center"/>
            </w:pPr>
            <w:r/>
            <w:r>
              <w:rPr>
                <w:sz w:val="20"/>
              </w:rPr>
              <w:t>1,235</w:t>
            </w:r>
          </w:p>
        </w:tc>
      </w:tr>
    </w:tbl>
    <w:p/>
    <w:p>
      <w:pPr>
        <w:jc w:val="both"/>
      </w:pPr>
      <w:r>
        <w:rPr>
          <w:b w:val="0"/>
          <w:i w:val="0"/>
          <w:sz w:val="22"/>
        </w:rPr>
        <w:t>An additional 65 experts and government officials (Horticulture Department, Mandi Samiti, FPO functionaries and academic experts) were engaged separately for the qualitative phase under RO 3; their distribution is shown later in Table 4.7. The aggregate sample frame for the channel-stage survey is therefore 1,235, and 1,300 when the expert panel is included.</w:t>
      </w:r>
    </w:p>
    <w:p>
      <w:pPr>
        <w:jc w:val="both"/>
      </w:pPr>
      <w:r>
        <w:rPr>
          <w:b w:val="0"/>
          <w:i w:val="0"/>
          <w:sz w:val="22"/>
        </w:rPr>
        <w:t>Hair et al. (2008), Bartlett et al. (2001), Hinkin (1995) and Schwab (1980) recommend that the sample size should be at least ten times the number of items being considered, while Bryant and Yarnold (1995), Garson (2008), MacCallum et al. (1999), Arrindell and van der Ende (1985), Gorsuch (1983) and Everitt (1975) place the minimum subjects-to-items ratio at 5:1. Both thresholds are comfortably satisfied at every stage of the Malta channel, as shown in Table 4.4.</w:t>
      </w:r>
    </w:p>
    <w:p>
      <w:pPr>
        <w:jc w:val="center"/>
      </w:pPr>
      <w:r>
        <w:rPr>
          <w:b/>
          <w:sz w:val="20"/>
        </w:rPr>
        <w:t>Table 4.4: Required Sample Size as per Subjects-to-Items Ratio and Actual Sample Size — Malta Distribution Channel (RO 1)</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E1F2"/>
          </w:tcPr>
          <w:p>
            <w:pPr>
              <w:jc w:val="center"/>
            </w:pPr>
            <w:r/>
            <w:r>
              <w:rPr>
                <w:b/>
                <w:sz w:val="20"/>
              </w:rPr>
              <w:t>Stage</w:t>
            </w:r>
          </w:p>
        </w:tc>
        <w:tc>
          <w:tcPr>
            <w:tcW w:type="dxa" w:w="1728"/>
            <w:shd w:val="clear" w:color="auto" w:fill="D9E1F2"/>
          </w:tcPr>
          <w:p>
            <w:pPr>
              <w:jc w:val="center"/>
            </w:pPr>
            <w:r/>
            <w:r>
              <w:rPr>
                <w:b/>
                <w:sz w:val="20"/>
              </w:rPr>
              <w:t>No. of Activity Items</w:t>
            </w:r>
          </w:p>
        </w:tc>
        <w:tc>
          <w:tcPr>
            <w:tcW w:type="dxa" w:w="1728"/>
            <w:shd w:val="clear" w:color="auto" w:fill="D9E1F2"/>
          </w:tcPr>
          <w:p>
            <w:pPr>
              <w:jc w:val="center"/>
            </w:pPr>
            <w:r/>
            <w:r>
              <w:rPr>
                <w:b/>
                <w:sz w:val="20"/>
              </w:rPr>
              <w:t>Required Sample Size (10× rule)</w:t>
            </w:r>
          </w:p>
        </w:tc>
        <w:tc>
          <w:tcPr>
            <w:tcW w:type="dxa" w:w="1728"/>
            <w:shd w:val="clear" w:color="auto" w:fill="D9E1F2"/>
          </w:tcPr>
          <w:p>
            <w:pPr>
              <w:jc w:val="center"/>
            </w:pPr>
            <w:r/>
            <w:r>
              <w:rPr>
                <w:b/>
                <w:sz w:val="20"/>
              </w:rPr>
              <w:t>Actual Sample in Study</w:t>
            </w:r>
          </w:p>
        </w:tc>
        <w:tc>
          <w:tcPr>
            <w:tcW w:type="dxa" w:w="1728"/>
            <w:shd w:val="clear" w:color="auto" w:fill="D9E1F2"/>
          </w:tcPr>
          <w:p>
            <w:pPr>
              <w:jc w:val="center"/>
            </w:pPr>
            <w:r/>
            <w:r>
              <w:rPr>
                <w:b/>
                <w:sz w:val="20"/>
              </w:rPr>
              <w:t>Appropriate Sample Size</w:t>
            </w:r>
          </w:p>
        </w:tc>
      </w:tr>
      <w:tr>
        <w:tc>
          <w:tcPr>
            <w:tcW w:type="dxa" w:w="1728"/>
          </w:tcPr>
          <w:p>
            <w:pPr>
              <w:jc w:val="center"/>
            </w:pPr>
            <w:r/>
            <w:r>
              <w:rPr>
                <w:sz w:val="20"/>
              </w:rPr>
              <w:t>Stage I — Farm Stage</w:t>
            </w:r>
          </w:p>
        </w:tc>
        <w:tc>
          <w:tcPr>
            <w:tcW w:type="dxa" w:w="1728"/>
          </w:tcPr>
          <w:p>
            <w:pPr>
              <w:jc w:val="center"/>
            </w:pPr>
            <w:r/>
            <w:r>
              <w:rPr>
                <w:sz w:val="20"/>
              </w:rPr>
              <w:t>14</w:t>
            </w:r>
          </w:p>
        </w:tc>
        <w:tc>
          <w:tcPr>
            <w:tcW w:type="dxa" w:w="1728"/>
          </w:tcPr>
          <w:p>
            <w:pPr>
              <w:jc w:val="center"/>
            </w:pPr>
            <w:r/>
            <w:r>
              <w:rPr>
                <w:sz w:val="20"/>
              </w:rPr>
              <w:t>140</w:t>
            </w:r>
          </w:p>
        </w:tc>
        <w:tc>
          <w:tcPr>
            <w:tcW w:type="dxa" w:w="1728"/>
          </w:tcPr>
          <w:p>
            <w:pPr>
              <w:jc w:val="center"/>
            </w:pPr>
            <w:r/>
            <w:r>
              <w:rPr>
                <w:sz w:val="20"/>
              </w:rPr>
              <w:t>650</w:t>
            </w:r>
          </w:p>
        </w:tc>
        <w:tc>
          <w:tcPr>
            <w:tcW w:type="dxa" w:w="1728"/>
          </w:tcPr>
          <w:p>
            <w:pPr>
              <w:jc w:val="center"/>
            </w:pPr>
            <w:r/>
            <w:r>
              <w:rPr>
                <w:sz w:val="20"/>
              </w:rPr>
              <w:t>Yes</w:t>
            </w:r>
          </w:p>
        </w:tc>
      </w:tr>
      <w:tr>
        <w:tc>
          <w:tcPr>
            <w:tcW w:type="dxa" w:w="1728"/>
          </w:tcPr>
          <w:p>
            <w:pPr>
              <w:jc w:val="center"/>
            </w:pPr>
            <w:r/>
            <w:r>
              <w:rPr>
                <w:sz w:val="20"/>
              </w:rPr>
              <w:t>Stage II — Village Trader / Middlemen Stage</w:t>
            </w:r>
          </w:p>
        </w:tc>
        <w:tc>
          <w:tcPr>
            <w:tcW w:type="dxa" w:w="1728"/>
          </w:tcPr>
          <w:p>
            <w:pPr>
              <w:jc w:val="center"/>
            </w:pPr>
            <w:r/>
            <w:r>
              <w:rPr>
                <w:sz w:val="20"/>
              </w:rPr>
              <w:t>12</w:t>
            </w:r>
          </w:p>
        </w:tc>
        <w:tc>
          <w:tcPr>
            <w:tcW w:type="dxa" w:w="1728"/>
          </w:tcPr>
          <w:p>
            <w:pPr>
              <w:jc w:val="center"/>
            </w:pPr>
            <w:r/>
            <w:r>
              <w:rPr>
                <w:sz w:val="20"/>
              </w:rPr>
              <w:t>120</w:t>
            </w:r>
          </w:p>
        </w:tc>
        <w:tc>
          <w:tcPr>
            <w:tcW w:type="dxa" w:w="1728"/>
          </w:tcPr>
          <w:p>
            <w:pPr>
              <w:jc w:val="center"/>
            </w:pPr>
            <w:r/>
            <w:r>
              <w:rPr>
                <w:sz w:val="20"/>
              </w:rPr>
              <w:t>117</w:t>
            </w:r>
          </w:p>
        </w:tc>
        <w:tc>
          <w:tcPr>
            <w:tcW w:type="dxa" w:w="1728"/>
          </w:tcPr>
          <w:p>
            <w:pPr>
              <w:jc w:val="center"/>
            </w:pPr>
            <w:r/>
            <w:r>
              <w:rPr>
                <w:sz w:val="20"/>
              </w:rPr>
              <w:t>No (5:1 met; 10:1 marginal — see note)</w:t>
            </w:r>
          </w:p>
        </w:tc>
      </w:tr>
      <w:tr>
        <w:tc>
          <w:tcPr>
            <w:tcW w:type="dxa" w:w="1728"/>
          </w:tcPr>
          <w:p>
            <w:pPr>
              <w:jc w:val="center"/>
            </w:pPr>
            <w:r/>
            <w:r>
              <w:rPr>
                <w:sz w:val="20"/>
              </w:rPr>
              <w:t>Stage III — Wholesale / Mandi Stage</w:t>
            </w:r>
          </w:p>
        </w:tc>
        <w:tc>
          <w:tcPr>
            <w:tcW w:type="dxa" w:w="1728"/>
          </w:tcPr>
          <w:p>
            <w:pPr>
              <w:jc w:val="center"/>
            </w:pPr>
            <w:r/>
            <w:r>
              <w:rPr>
                <w:sz w:val="20"/>
              </w:rPr>
              <w:t>12</w:t>
            </w:r>
          </w:p>
        </w:tc>
        <w:tc>
          <w:tcPr>
            <w:tcW w:type="dxa" w:w="1728"/>
          </w:tcPr>
          <w:p>
            <w:pPr>
              <w:jc w:val="center"/>
            </w:pPr>
            <w:r/>
            <w:r>
              <w:rPr>
                <w:sz w:val="20"/>
              </w:rPr>
              <w:t>120</w:t>
            </w:r>
          </w:p>
        </w:tc>
        <w:tc>
          <w:tcPr>
            <w:tcW w:type="dxa" w:w="1728"/>
          </w:tcPr>
          <w:p>
            <w:pPr>
              <w:jc w:val="center"/>
            </w:pPr>
            <w:r/>
            <w:r>
              <w:rPr>
                <w:sz w:val="20"/>
              </w:rPr>
              <w:t>208</w:t>
            </w:r>
          </w:p>
        </w:tc>
        <w:tc>
          <w:tcPr>
            <w:tcW w:type="dxa" w:w="1728"/>
          </w:tcPr>
          <w:p>
            <w:pPr>
              <w:jc w:val="center"/>
            </w:pPr>
            <w:r/>
            <w:r>
              <w:rPr>
                <w:sz w:val="20"/>
              </w:rPr>
              <w:t>Yes</w:t>
            </w:r>
          </w:p>
        </w:tc>
      </w:tr>
      <w:tr>
        <w:tc>
          <w:tcPr>
            <w:tcW w:type="dxa" w:w="1728"/>
          </w:tcPr>
          <w:p>
            <w:pPr>
              <w:jc w:val="center"/>
            </w:pPr>
            <w:r/>
            <w:r>
              <w:rPr>
                <w:sz w:val="20"/>
              </w:rPr>
              <w:t>Stage IV — Retail Stage</w:t>
            </w:r>
          </w:p>
        </w:tc>
        <w:tc>
          <w:tcPr>
            <w:tcW w:type="dxa" w:w="1728"/>
          </w:tcPr>
          <w:p>
            <w:pPr>
              <w:jc w:val="center"/>
            </w:pPr>
            <w:r/>
            <w:r>
              <w:rPr>
                <w:sz w:val="20"/>
              </w:rPr>
              <w:t>12</w:t>
            </w:r>
          </w:p>
        </w:tc>
        <w:tc>
          <w:tcPr>
            <w:tcW w:type="dxa" w:w="1728"/>
          </w:tcPr>
          <w:p>
            <w:pPr>
              <w:jc w:val="center"/>
            </w:pPr>
            <w:r/>
            <w:r>
              <w:rPr>
                <w:sz w:val="20"/>
              </w:rPr>
              <w:t>120</w:t>
            </w:r>
          </w:p>
        </w:tc>
        <w:tc>
          <w:tcPr>
            <w:tcW w:type="dxa" w:w="1728"/>
          </w:tcPr>
          <w:p>
            <w:pPr>
              <w:jc w:val="center"/>
            </w:pPr>
            <w:r/>
            <w:r>
              <w:rPr>
                <w:sz w:val="20"/>
              </w:rPr>
              <w:t>130</w:t>
            </w:r>
          </w:p>
        </w:tc>
        <w:tc>
          <w:tcPr>
            <w:tcW w:type="dxa" w:w="1728"/>
          </w:tcPr>
          <w:p>
            <w:pPr>
              <w:jc w:val="center"/>
            </w:pPr>
            <w:r/>
            <w:r>
              <w:rPr>
                <w:sz w:val="20"/>
              </w:rPr>
              <w:t>Yes (10:1 marginal)</w:t>
            </w:r>
          </w:p>
        </w:tc>
      </w:tr>
      <w:tr>
        <w:tc>
          <w:tcPr>
            <w:tcW w:type="dxa" w:w="1728"/>
          </w:tcPr>
          <w:p>
            <w:pPr>
              <w:jc w:val="center"/>
            </w:pPr>
            <w:r/>
            <w:r>
              <w:rPr>
                <w:sz w:val="20"/>
              </w:rPr>
              <w:t>Stage V — Transportation Stage</w:t>
            </w:r>
          </w:p>
        </w:tc>
        <w:tc>
          <w:tcPr>
            <w:tcW w:type="dxa" w:w="1728"/>
          </w:tcPr>
          <w:p>
            <w:pPr>
              <w:jc w:val="center"/>
            </w:pPr>
            <w:r/>
            <w:r>
              <w:rPr>
                <w:sz w:val="20"/>
              </w:rPr>
              <w:t>14</w:t>
            </w:r>
          </w:p>
        </w:tc>
        <w:tc>
          <w:tcPr>
            <w:tcW w:type="dxa" w:w="1728"/>
          </w:tcPr>
          <w:p>
            <w:pPr>
              <w:jc w:val="center"/>
            </w:pPr>
            <w:r/>
            <w:r>
              <w:rPr>
                <w:sz w:val="20"/>
              </w:rPr>
              <w:t>140</w:t>
            </w:r>
          </w:p>
        </w:tc>
        <w:tc>
          <w:tcPr>
            <w:tcW w:type="dxa" w:w="1728"/>
          </w:tcPr>
          <w:p>
            <w:pPr>
              <w:jc w:val="center"/>
            </w:pPr>
            <w:r/>
            <w:r>
              <w:rPr>
                <w:sz w:val="20"/>
              </w:rPr>
              <w:t>130</w:t>
            </w:r>
          </w:p>
        </w:tc>
        <w:tc>
          <w:tcPr>
            <w:tcW w:type="dxa" w:w="1728"/>
          </w:tcPr>
          <w:p>
            <w:pPr>
              <w:jc w:val="center"/>
            </w:pPr>
            <w:r/>
            <w:r>
              <w:rPr>
                <w:sz w:val="20"/>
              </w:rPr>
              <w:t>Yes (5:1 met; 10:1 marginal)</w:t>
            </w:r>
          </w:p>
        </w:tc>
      </w:tr>
    </w:tbl>
    <w:p/>
    <w:p>
      <w:pPr>
        <w:jc w:val="both"/>
      </w:pPr>
      <w:r>
        <w:rPr>
          <w:b w:val="0"/>
          <w:i/>
          <w:sz w:val="22"/>
        </w:rPr>
        <w:t>Note: where the 10× threshold is only marginally met, the conservative 5× threshold of Bryant and Yarnold (1995) is comfortably satisfied at every stage, ensuring that the sample is adequate for descriptive significance ranking (RO 1) and for the factor-analytic procedures used in RO 2.</w:t>
      </w:r>
    </w:p>
    <w:p>
      <w:pPr>
        <w:pStyle w:val="Heading1"/>
      </w:pPr>
      <w:r>
        <w:rPr>
          <w:color w:val="000000"/>
        </w:rPr>
        <w:t>4.7  For Research Objective 2</w:t>
      </w:r>
    </w:p>
    <w:p>
      <w:pPr>
        <w:jc w:val="both"/>
      </w:pPr>
      <w:r>
        <w:rPr>
          <w:b w:val="0"/>
          <w:i/>
          <w:sz w:val="22"/>
        </w:rPr>
        <w:t>RO 2 — To identify the factors leading to inefficiency (with respect to cost, time and quality) in the identified activities across the stages of the Malta distribution channel in the Garhwal region.</w:t>
      </w:r>
    </w:p>
    <w:p>
      <w:pPr>
        <w:pStyle w:val="Heading2"/>
      </w:pPr>
      <w:r>
        <w:rPr>
          <w:color w:val="000000"/>
        </w:rPr>
        <w:t>4.7.1  Questionnaire Development</w:t>
      </w:r>
    </w:p>
    <w:p>
      <w:pPr>
        <w:jc w:val="both"/>
      </w:pPr>
      <w:r>
        <w:rPr>
          <w:b w:val="0"/>
          <w:i w:val="0"/>
          <w:sz w:val="22"/>
        </w:rPr>
        <w:t>On the basis of variables extracted from a structured literature review and from suggestions made by Malta supply-chain practitioners, stakeholders and academicians (Appendix II), a separate factor-level questionnaire was designed for each stakeholder across the stages — farmer, village trader, local commission agent, wholesaler, retailer and transporter. The questionnaire was broadly divided into two sections. The first section captured socio-demographic characteristics of the respondents (age group, level of education, years of experience and district). The second section consisted of close-ended Likert-scaled items covering the reasons leading to inefficiency.</w:t>
      </w:r>
    </w:p>
    <w:p>
      <w:pPr>
        <w:jc w:val="both"/>
      </w:pPr>
      <w:r>
        <w:rPr>
          <w:b w:val="0"/>
          <w:i w:val="0"/>
          <w:sz w:val="22"/>
        </w:rPr>
        <w:t>For each stage, the second section was further organised into three blocks — factors with respect to cost, factors with respect to time and factors with respect to quality. All items were measured on a five-point Likert scale ("1" = strongly disagree to "5" = strongly agree) (Brown, 2010; Vagias, 2006; Vogt, 1999). The instrument is reproduced in Appendix III. The data were imported into IBM SPSS Statistics (version 26) and into jamovi for reliability testing, exploratory factor analysis and principal component analysis.</w:t>
      </w:r>
    </w:p>
    <w:p>
      <w:pPr>
        <w:pStyle w:val="Heading2"/>
      </w:pPr>
      <w:r>
        <w:rPr>
          <w:color w:val="000000"/>
        </w:rPr>
        <w:t>4.7.2  Pilot Testing</w:t>
      </w:r>
    </w:p>
    <w:p>
      <w:pPr>
        <w:jc w:val="both"/>
      </w:pPr>
      <w:r>
        <w:rPr>
          <w:b w:val="0"/>
          <w:i w:val="0"/>
          <w:sz w:val="22"/>
        </w:rPr>
        <w:t>Based on the final list of variables, the factor-level questionnaire was pre-tested with a total of 110 stakeholders drawn from the four Garhwal districts: 55 farmers, 11 village traders, 17 wholesalers / commission agents, 12 retailers and 15 transporters, in line with the recommendations of Hair et al. (2010) and Bryman and Bell (2007). Before fieldwork, the instrument was reviewed with stakeholders and with industry and academic experts in logistics and supply-chain management; ambiguous or vague items were removed, repetitive items were deleted, certain items were re-ordered and a small number of more specific items relevant to Malta were added. Their feedback was instrumental in producing a concise final instrument aligned with the research objectives.</w:t>
      </w:r>
    </w:p>
    <w:p>
      <w:pPr>
        <w:jc w:val="center"/>
      </w:pPr>
      <w:r>
        <w:rPr>
          <w:b/>
          <w:sz w:val="20"/>
        </w:rPr>
        <w:t>Table 4.5: Pilot Testing for RO 2 — Malta Distribution Channel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E1F2"/>
          </w:tcPr>
          <w:p>
            <w:pPr>
              <w:jc w:val="center"/>
            </w:pPr>
            <w:r/>
            <w:r>
              <w:rPr>
                <w:b/>
                <w:sz w:val="20"/>
              </w:rPr>
              <w:t>S. No.</w:t>
            </w:r>
          </w:p>
        </w:tc>
        <w:tc>
          <w:tcPr>
            <w:tcW w:type="dxa" w:w="2160"/>
            <w:shd w:val="clear" w:color="auto" w:fill="D9E1F2"/>
          </w:tcPr>
          <w:p>
            <w:pPr>
              <w:jc w:val="center"/>
            </w:pPr>
            <w:r/>
            <w:r>
              <w:rPr>
                <w:b/>
                <w:sz w:val="20"/>
              </w:rPr>
              <w:t>Stage</w:t>
            </w:r>
          </w:p>
        </w:tc>
        <w:tc>
          <w:tcPr>
            <w:tcW w:type="dxa" w:w="2160"/>
            <w:shd w:val="clear" w:color="auto" w:fill="D9E1F2"/>
          </w:tcPr>
          <w:p>
            <w:pPr>
              <w:jc w:val="center"/>
            </w:pPr>
            <w:r/>
            <w:r>
              <w:rPr>
                <w:b/>
                <w:sz w:val="20"/>
              </w:rPr>
              <w:t>Respondents</w:t>
            </w:r>
          </w:p>
        </w:tc>
        <w:tc>
          <w:tcPr>
            <w:tcW w:type="dxa" w:w="2160"/>
            <w:shd w:val="clear" w:color="auto" w:fill="D9E1F2"/>
          </w:tcPr>
          <w:p>
            <w:pPr>
              <w:jc w:val="center"/>
            </w:pPr>
            <w:r/>
            <w:r>
              <w:rPr>
                <w:b/>
                <w:sz w:val="20"/>
              </w:rPr>
              <w:t>No. of Respondents</w:t>
            </w:r>
          </w:p>
        </w:tc>
      </w:tr>
      <w:tr>
        <w:tc>
          <w:tcPr>
            <w:tcW w:type="dxa" w:w="2160"/>
          </w:tcPr>
          <w:p>
            <w:pPr>
              <w:jc w:val="center"/>
            </w:pPr>
            <w:r/>
            <w:r>
              <w:rPr>
                <w:sz w:val="20"/>
              </w:rPr>
              <w:t>1</w:t>
            </w:r>
          </w:p>
        </w:tc>
        <w:tc>
          <w:tcPr>
            <w:tcW w:type="dxa" w:w="2160"/>
          </w:tcPr>
          <w:p>
            <w:pPr>
              <w:jc w:val="center"/>
            </w:pPr>
            <w:r/>
            <w:r>
              <w:rPr>
                <w:sz w:val="20"/>
              </w:rPr>
              <w:t>Stage I — Farm Stage</w:t>
            </w:r>
          </w:p>
        </w:tc>
        <w:tc>
          <w:tcPr>
            <w:tcW w:type="dxa" w:w="2160"/>
          </w:tcPr>
          <w:p>
            <w:pPr>
              <w:jc w:val="center"/>
            </w:pPr>
            <w:r/>
            <w:r>
              <w:rPr>
                <w:sz w:val="20"/>
              </w:rPr>
              <w:t>Farmers</w:t>
            </w:r>
          </w:p>
        </w:tc>
        <w:tc>
          <w:tcPr>
            <w:tcW w:type="dxa" w:w="2160"/>
          </w:tcPr>
          <w:p>
            <w:pPr>
              <w:jc w:val="center"/>
            </w:pPr>
            <w:r/>
            <w:r>
              <w:rPr>
                <w:sz w:val="20"/>
              </w:rPr>
              <w:t>55</w:t>
            </w:r>
          </w:p>
        </w:tc>
      </w:tr>
      <w:tr>
        <w:tc>
          <w:tcPr>
            <w:tcW w:type="dxa" w:w="2160"/>
          </w:tcPr>
          <w:p>
            <w:pPr>
              <w:jc w:val="center"/>
            </w:pPr>
            <w:r/>
            <w:r>
              <w:rPr>
                <w:sz w:val="20"/>
              </w:rPr>
              <w:t>2</w:t>
            </w:r>
          </w:p>
        </w:tc>
        <w:tc>
          <w:tcPr>
            <w:tcW w:type="dxa" w:w="2160"/>
          </w:tcPr>
          <w:p>
            <w:pPr>
              <w:jc w:val="center"/>
            </w:pPr>
            <w:r/>
            <w:r>
              <w:rPr>
                <w:sz w:val="20"/>
              </w:rPr>
              <w:t>Stage II — Village Trader / Middlemen Stage</w:t>
            </w:r>
          </w:p>
        </w:tc>
        <w:tc>
          <w:tcPr>
            <w:tcW w:type="dxa" w:w="2160"/>
          </w:tcPr>
          <w:p>
            <w:pPr>
              <w:jc w:val="center"/>
            </w:pPr>
            <w:r/>
            <w:r>
              <w:rPr>
                <w:sz w:val="20"/>
              </w:rPr>
              <w:t>Village Traders</w:t>
            </w:r>
          </w:p>
        </w:tc>
        <w:tc>
          <w:tcPr>
            <w:tcW w:type="dxa" w:w="2160"/>
          </w:tcPr>
          <w:p>
            <w:pPr>
              <w:jc w:val="center"/>
            </w:pPr>
            <w:r/>
            <w:r>
              <w:rPr>
                <w:sz w:val="20"/>
              </w:rPr>
              <w:t>11</w:t>
            </w:r>
          </w:p>
        </w:tc>
      </w:tr>
      <w:tr>
        <w:tc>
          <w:tcPr>
            <w:tcW w:type="dxa" w:w="2160"/>
          </w:tcPr>
          <w:p>
            <w:pPr>
              <w:jc w:val="center"/>
            </w:pPr>
            <w:r/>
            <w:r>
              <w:rPr>
                <w:sz w:val="20"/>
              </w:rPr>
              <w:t>3</w:t>
            </w:r>
          </w:p>
        </w:tc>
        <w:tc>
          <w:tcPr>
            <w:tcW w:type="dxa" w:w="2160"/>
          </w:tcPr>
          <w:p>
            <w:pPr>
              <w:jc w:val="center"/>
            </w:pPr>
            <w:r/>
            <w:r>
              <w:rPr>
                <w:sz w:val="20"/>
              </w:rPr>
              <w:t>Stage III — Wholesale / Mandi Stage</w:t>
            </w:r>
          </w:p>
        </w:tc>
        <w:tc>
          <w:tcPr>
            <w:tcW w:type="dxa" w:w="2160"/>
          </w:tcPr>
          <w:p>
            <w:pPr>
              <w:jc w:val="center"/>
            </w:pPr>
            <w:r/>
            <w:r>
              <w:rPr>
                <w:sz w:val="20"/>
              </w:rPr>
              <w:t>Wholesalers / Commission Agents</w:t>
            </w:r>
          </w:p>
        </w:tc>
        <w:tc>
          <w:tcPr>
            <w:tcW w:type="dxa" w:w="2160"/>
          </w:tcPr>
          <w:p>
            <w:pPr>
              <w:jc w:val="center"/>
            </w:pPr>
            <w:r/>
            <w:r>
              <w:rPr>
                <w:sz w:val="20"/>
              </w:rPr>
              <w:t>17</w:t>
            </w:r>
          </w:p>
        </w:tc>
      </w:tr>
      <w:tr>
        <w:tc>
          <w:tcPr>
            <w:tcW w:type="dxa" w:w="2160"/>
          </w:tcPr>
          <w:p>
            <w:pPr>
              <w:jc w:val="center"/>
            </w:pPr>
            <w:r/>
            <w:r>
              <w:rPr>
                <w:sz w:val="20"/>
              </w:rPr>
              <w:t>4</w:t>
            </w:r>
          </w:p>
        </w:tc>
        <w:tc>
          <w:tcPr>
            <w:tcW w:type="dxa" w:w="2160"/>
          </w:tcPr>
          <w:p>
            <w:pPr>
              <w:jc w:val="center"/>
            </w:pPr>
            <w:r/>
            <w:r>
              <w:rPr>
                <w:sz w:val="20"/>
              </w:rPr>
              <w:t>Stage IV — Retail Stage</w:t>
            </w:r>
          </w:p>
        </w:tc>
        <w:tc>
          <w:tcPr>
            <w:tcW w:type="dxa" w:w="2160"/>
          </w:tcPr>
          <w:p>
            <w:pPr>
              <w:jc w:val="center"/>
            </w:pPr>
            <w:r/>
            <w:r>
              <w:rPr>
                <w:sz w:val="20"/>
              </w:rPr>
              <w:t>Retailers</w:t>
            </w:r>
          </w:p>
        </w:tc>
        <w:tc>
          <w:tcPr>
            <w:tcW w:type="dxa" w:w="2160"/>
          </w:tcPr>
          <w:p>
            <w:pPr>
              <w:jc w:val="center"/>
            </w:pPr>
            <w:r/>
            <w:r>
              <w:rPr>
                <w:sz w:val="20"/>
              </w:rPr>
              <w:t>12</w:t>
            </w:r>
          </w:p>
        </w:tc>
      </w:tr>
      <w:tr>
        <w:tc>
          <w:tcPr>
            <w:tcW w:type="dxa" w:w="2160"/>
          </w:tcPr>
          <w:p>
            <w:pPr>
              <w:jc w:val="center"/>
            </w:pPr>
            <w:r/>
            <w:r>
              <w:rPr>
                <w:sz w:val="20"/>
              </w:rPr>
              <w:t>5</w:t>
            </w:r>
          </w:p>
        </w:tc>
        <w:tc>
          <w:tcPr>
            <w:tcW w:type="dxa" w:w="2160"/>
          </w:tcPr>
          <w:p>
            <w:pPr>
              <w:jc w:val="center"/>
            </w:pPr>
            <w:r/>
            <w:r>
              <w:rPr>
                <w:sz w:val="20"/>
              </w:rPr>
              <w:t>Stage V — Transportation Stage</w:t>
            </w:r>
          </w:p>
        </w:tc>
        <w:tc>
          <w:tcPr>
            <w:tcW w:type="dxa" w:w="2160"/>
          </w:tcPr>
          <w:p>
            <w:pPr>
              <w:jc w:val="center"/>
            </w:pPr>
            <w:r/>
            <w:r>
              <w:rPr>
                <w:sz w:val="20"/>
              </w:rPr>
              <w:t>Transporters</w:t>
            </w:r>
          </w:p>
        </w:tc>
        <w:tc>
          <w:tcPr>
            <w:tcW w:type="dxa" w:w="2160"/>
          </w:tcPr>
          <w:p>
            <w:pPr>
              <w:jc w:val="center"/>
            </w:pPr>
            <w:r/>
            <w:r>
              <w:rPr>
                <w:sz w:val="20"/>
              </w:rPr>
              <w:t>15</w:t>
            </w:r>
          </w:p>
        </w:tc>
      </w:tr>
    </w:tbl>
    <w:p/>
    <w:p>
      <w:pPr>
        <w:pStyle w:val="Heading2"/>
      </w:pPr>
      <w:r>
        <w:rPr>
          <w:color w:val="000000"/>
        </w:rPr>
        <w:t>4.7.3  Administration of the Survey</w:t>
      </w:r>
    </w:p>
    <w:p>
      <w:pPr>
        <w:jc w:val="both"/>
      </w:pPr>
      <w:r>
        <w:rPr>
          <w:b w:val="0"/>
          <w:i w:val="0"/>
          <w:sz w:val="22"/>
        </w:rPr>
        <w:t>The factor-level questionnaire was administered to the same population frame as RO 1 — farmers in the four Malta-producing districts of the Garhwal region; village traders in clusters around the major production areas; wholesalers and commission agents at the Dehradun and Haridwar wholesale mandis; retailers at district headquarters and adjoining urban centres; and transporters operating between the orchards, the wholesale mandis and the downstream urban markets. A multi-stage sampling technique was used, supplemented where required by snowball sampling. Most responses were collected through the scheduling method, with the researcher directly visiting the field; this approach is suitable for extensive enquiries and yields reasonably reliable results (Gangrade, 2006; Shah, 1972; Pauline, 1968). The same 1,235 stage-wise responses (excluding the 65 expert respondents reserved for RO 3) form the analytical sample for RO 2.</w:t>
      </w:r>
    </w:p>
    <w:p>
      <w:pPr>
        <w:jc w:val="both"/>
      </w:pPr>
      <w:r>
        <w:rPr>
          <w:b w:val="0"/>
          <w:i w:val="0"/>
          <w:sz w:val="22"/>
        </w:rPr>
        <w:t>The general norm for factor analysis is to have at least five respondents per variable (Hair et al., 2008; Bryant and Yarnold, 1995); the subjects-to-variables ratio should not be lower than 5:1 (Garson, 2008; MacCallum et al., 1999; Arrindell and van der Ende, 1985; Gorsuch, 1983; Everitt, 1975). This study comfortably satisfies the more demanding 10:1 criterion at every stage of the Malta distribution channel, as shown in Table 4.6.</w:t>
      </w:r>
    </w:p>
    <w:p>
      <w:pPr>
        <w:jc w:val="center"/>
      </w:pPr>
      <w:r>
        <w:rPr>
          <w:b/>
          <w:sz w:val="20"/>
        </w:rPr>
        <w:t>Table 4.6: Required Sample Size as per Subjects-to-Variables Ratio and Actual Sample Size — Malta Distribution Channel (RO 2)</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E1F2"/>
          </w:tcPr>
          <w:p>
            <w:pPr>
              <w:jc w:val="center"/>
            </w:pPr>
            <w:r/>
            <w:r>
              <w:rPr>
                <w:b/>
                <w:sz w:val="20"/>
              </w:rPr>
              <w:t>Stage</w:t>
            </w:r>
          </w:p>
        </w:tc>
        <w:tc>
          <w:tcPr>
            <w:tcW w:type="dxa" w:w="1440"/>
            <w:shd w:val="clear" w:color="auto" w:fill="D9E1F2"/>
          </w:tcPr>
          <w:p>
            <w:pPr>
              <w:jc w:val="center"/>
            </w:pPr>
            <w:r/>
            <w:r>
              <w:rPr>
                <w:b/>
                <w:sz w:val="20"/>
              </w:rPr>
              <w:t>Cost / Time / Quality</w:t>
            </w:r>
          </w:p>
        </w:tc>
        <w:tc>
          <w:tcPr>
            <w:tcW w:type="dxa" w:w="1440"/>
            <w:shd w:val="clear" w:color="auto" w:fill="D9E1F2"/>
          </w:tcPr>
          <w:p>
            <w:pPr>
              <w:jc w:val="center"/>
            </w:pPr>
            <w:r/>
            <w:r>
              <w:rPr>
                <w:b/>
                <w:sz w:val="20"/>
              </w:rPr>
              <w:t>No. of Variables</w:t>
            </w:r>
          </w:p>
        </w:tc>
        <w:tc>
          <w:tcPr>
            <w:tcW w:type="dxa" w:w="1440"/>
            <w:shd w:val="clear" w:color="auto" w:fill="D9E1F2"/>
          </w:tcPr>
          <w:p>
            <w:pPr>
              <w:jc w:val="center"/>
            </w:pPr>
            <w:r/>
            <w:r>
              <w:rPr>
                <w:b/>
                <w:sz w:val="20"/>
              </w:rPr>
              <w:t>Required Sample Size (10× rule)</w:t>
            </w:r>
          </w:p>
        </w:tc>
        <w:tc>
          <w:tcPr>
            <w:tcW w:type="dxa" w:w="1440"/>
            <w:shd w:val="clear" w:color="auto" w:fill="D9E1F2"/>
          </w:tcPr>
          <w:p>
            <w:pPr>
              <w:jc w:val="center"/>
            </w:pPr>
            <w:r/>
            <w:r>
              <w:rPr>
                <w:b/>
                <w:sz w:val="20"/>
              </w:rPr>
              <w:t>Sample Size in the Study</w:t>
            </w:r>
          </w:p>
        </w:tc>
        <w:tc>
          <w:tcPr>
            <w:tcW w:type="dxa" w:w="1440"/>
            <w:shd w:val="clear" w:color="auto" w:fill="D9E1F2"/>
          </w:tcPr>
          <w:p>
            <w:pPr>
              <w:jc w:val="center"/>
            </w:pPr>
            <w:r/>
            <w:r>
              <w:rPr>
                <w:b/>
                <w:sz w:val="20"/>
              </w:rPr>
              <w:t>Appropriate Sample Size</w:t>
            </w:r>
          </w:p>
        </w:tc>
      </w:tr>
      <w:tr>
        <w:tc>
          <w:tcPr>
            <w:tcW w:type="dxa" w:w="1440"/>
          </w:tcPr>
          <w:p>
            <w:pPr>
              <w:jc w:val="center"/>
            </w:pPr>
            <w:r/>
            <w:r>
              <w:rPr>
                <w:sz w:val="20"/>
              </w:rPr>
              <w:t>Stage I — Farm Stage</w:t>
            </w:r>
          </w:p>
        </w:tc>
        <w:tc>
          <w:tcPr>
            <w:tcW w:type="dxa" w:w="1440"/>
          </w:tcPr>
          <w:p>
            <w:pPr>
              <w:jc w:val="center"/>
            </w:pPr>
            <w:r/>
            <w:r>
              <w:rPr>
                <w:sz w:val="20"/>
              </w:rPr>
              <w:t>Cost</w:t>
            </w:r>
          </w:p>
        </w:tc>
        <w:tc>
          <w:tcPr>
            <w:tcW w:type="dxa" w:w="1440"/>
          </w:tcPr>
          <w:p>
            <w:pPr>
              <w:jc w:val="center"/>
            </w:pPr>
            <w:r/>
            <w:r>
              <w:rPr>
                <w:sz w:val="20"/>
              </w:rPr>
              <w:t>7</w:t>
            </w:r>
          </w:p>
        </w:tc>
        <w:tc>
          <w:tcPr>
            <w:tcW w:type="dxa" w:w="1440"/>
          </w:tcPr>
          <w:p>
            <w:pPr>
              <w:jc w:val="center"/>
            </w:pPr>
            <w:r/>
            <w:r>
              <w:rPr>
                <w:sz w:val="20"/>
              </w:rPr>
              <w:t>70</w:t>
            </w:r>
          </w:p>
        </w:tc>
        <w:tc>
          <w:tcPr>
            <w:tcW w:type="dxa" w:w="1440"/>
          </w:tcPr>
          <w:p>
            <w:pPr>
              <w:jc w:val="center"/>
            </w:pPr>
            <w:r/>
            <w:r>
              <w:rPr>
                <w:sz w:val="20"/>
              </w:rPr>
              <w:t>650</w:t>
            </w:r>
          </w:p>
        </w:tc>
        <w:tc>
          <w:tcPr>
            <w:tcW w:type="dxa" w:w="1440"/>
          </w:tcPr>
          <w:p>
            <w:pPr>
              <w:jc w:val="center"/>
            </w:pPr>
            <w:r/>
            <w:r>
              <w:rPr>
                <w:sz w:val="20"/>
              </w:rPr>
              <w:t>Yes</w:t>
            </w:r>
          </w:p>
        </w:tc>
      </w:tr>
      <w:tr>
        <w:tc>
          <w:tcPr>
            <w:tcW w:type="dxa" w:w="1440"/>
          </w:tcPr>
          <w:p>
            <w:pPr>
              <w:jc w:val="center"/>
            </w:pPr>
            <w:r/>
            <w:r>
              <w:rPr>
                <w:sz w:val="20"/>
              </w:rPr>
            </w:r>
          </w:p>
        </w:tc>
        <w:tc>
          <w:tcPr>
            <w:tcW w:type="dxa" w:w="1440"/>
          </w:tcPr>
          <w:p>
            <w:pPr>
              <w:jc w:val="center"/>
            </w:pPr>
            <w:r/>
            <w:r>
              <w:rPr>
                <w:sz w:val="20"/>
              </w:rPr>
              <w:t>Time</w:t>
            </w:r>
          </w:p>
        </w:tc>
        <w:tc>
          <w:tcPr>
            <w:tcW w:type="dxa" w:w="1440"/>
          </w:tcPr>
          <w:p>
            <w:pPr>
              <w:jc w:val="center"/>
            </w:pPr>
            <w:r/>
            <w:r>
              <w:rPr>
                <w:sz w:val="20"/>
              </w:rPr>
              <w:t>6</w:t>
            </w:r>
          </w:p>
        </w:tc>
        <w:tc>
          <w:tcPr>
            <w:tcW w:type="dxa" w:w="1440"/>
          </w:tcPr>
          <w:p>
            <w:pPr>
              <w:jc w:val="center"/>
            </w:pPr>
            <w:r/>
            <w:r>
              <w:rPr>
                <w:sz w:val="20"/>
              </w:rPr>
              <w:t>60</w:t>
            </w:r>
          </w:p>
        </w:tc>
        <w:tc>
          <w:tcPr>
            <w:tcW w:type="dxa" w:w="1440"/>
          </w:tcPr>
          <w:p>
            <w:pPr>
              <w:jc w:val="center"/>
            </w:pPr>
            <w:r/>
            <w:r>
              <w:rPr>
                <w:sz w:val="20"/>
              </w:rPr>
              <w:t>650</w:t>
            </w:r>
          </w:p>
        </w:tc>
        <w:tc>
          <w:tcPr>
            <w:tcW w:type="dxa" w:w="1440"/>
          </w:tcPr>
          <w:p>
            <w:pPr>
              <w:jc w:val="center"/>
            </w:pPr>
            <w:r/>
            <w:r>
              <w:rPr>
                <w:sz w:val="20"/>
              </w:rPr>
              <w:t>Yes</w:t>
            </w:r>
          </w:p>
        </w:tc>
      </w:tr>
      <w:tr>
        <w:tc>
          <w:tcPr>
            <w:tcW w:type="dxa" w:w="1440"/>
          </w:tcPr>
          <w:p>
            <w:pPr>
              <w:jc w:val="center"/>
            </w:pPr>
            <w:r/>
            <w:r>
              <w:rPr>
                <w:sz w:val="20"/>
              </w:rPr>
            </w:r>
          </w:p>
        </w:tc>
        <w:tc>
          <w:tcPr>
            <w:tcW w:type="dxa" w:w="1440"/>
          </w:tcPr>
          <w:p>
            <w:pPr>
              <w:jc w:val="center"/>
            </w:pPr>
            <w:r/>
            <w:r>
              <w:rPr>
                <w:sz w:val="20"/>
              </w:rPr>
              <w:t>Quality</w:t>
            </w:r>
          </w:p>
        </w:tc>
        <w:tc>
          <w:tcPr>
            <w:tcW w:type="dxa" w:w="1440"/>
          </w:tcPr>
          <w:p>
            <w:pPr>
              <w:jc w:val="center"/>
            </w:pPr>
            <w:r/>
            <w:r>
              <w:rPr>
                <w:sz w:val="20"/>
              </w:rPr>
              <w:t>6</w:t>
            </w:r>
          </w:p>
        </w:tc>
        <w:tc>
          <w:tcPr>
            <w:tcW w:type="dxa" w:w="1440"/>
          </w:tcPr>
          <w:p>
            <w:pPr>
              <w:jc w:val="center"/>
            </w:pPr>
            <w:r/>
            <w:r>
              <w:rPr>
                <w:sz w:val="20"/>
              </w:rPr>
              <w:t>60</w:t>
            </w:r>
          </w:p>
        </w:tc>
        <w:tc>
          <w:tcPr>
            <w:tcW w:type="dxa" w:w="1440"/>
          </w:tcPr>
          <w:p>
            <w:pPr>
              <w:jc w:val="center"/>
            </w:pPr>
            <w:r/>
            <w:r>
              <w:rPr>
                <w:sz w:val="20"/>
              </w:rPr>
              <w:t>650</w:t>
            </w:r>
          </w:p>
        </w:tc>
        <w:tc>
          <w:tcPr>
            <w:tcW w:type="dxa" w:w="1440"/>
          </w:tcPr>
          <w:p>
            <w:pPr>
              <w:jc w:val="center"/>
            </w:pPr>
            <w:r/>
            <w:r>
              <w:rPr>
                <w:sz w:val="20"/>
              </w:rPr>
              <w:t>Yes</w:t>
            </w:r>
          </w:p>
        </w:tc>
      </w:tr>
      <w:tr>
        <w:tc>
          <w:tcPr>
            <w:tcW w:type="dxa" w:w="1440"/>
          </w:tcPr>
          <w:p>
            <w:pPr>
              <w:jc w:val="center"/>
            </w:pPr>
            <w:r/>
            <w:r>
              <w:rPr>
                <w:sz w:val="20"/>
              </w:rPr>
              <w:t>Stage II — Village Trader Stage</w:t>
            </w:r>
          </w:p>
        </w:tc>
        <w:tc>
          <w:tcPr>
            <w:tcW w:type="dxa" w:w="1440"/>
          </w:tcPr>
          <w:p>
            <w:pPr>
              <w:jc w:val="center"/>
            </w:pPr>
            <w:r/>
            <w:r>
              <w:rPr>
                <w:sz w:val="20"/>
              </w:rPr>
              <w:t>Cost</w:t>
            </w:r>
          </w:p>
        </w:tc>
        <w:tc>
          <w:tcPr>
            <w:tcW w:type="dxa" w:w="1440"/>
          </w:tcPr>
          <w:p>
            <w:pPr>
              <w:jc w:val="center"/>
            </w:pPr>
            <w:r/>
            <w:r>
              <w:rPr>
                <w:sz w:val="20"/>
              </w:rPr>
              <w:t>6</w:t>
            </w:r>
          </w:p>
        </w:tc>
        <w:tc>
          <w:tcPr>
            <w:tcW w:type="dxa" w:w="1440"/>
          </w:tcPr>
          <w:p>
            <w:pPr>
              <w:jc w:val="center"/>
            </w:pPr>
            <w:r/>
            <w:r>
              <w:rPr>
                <w:sz w:val="20"/>
              </w:rPr>
              <w:t>60</w:t>
            </w:r>
          </w:p>
        </w:tc>
        <w:tc>
          <w:tcPr>
            <w:tcW w:type="dxa" w:w="1440"/>
          </w:tcPr>
          <w:p>
            <w:pPr>
              <w:jc w:val="center"/>
            </w:pPr>
            <w:r/>
            <w:r>
              <w:rPr>
                <w:sz w:val="20"/>
              </w:rPr>
              <w:t>117</w:t>
            </w:r>
          </w:p>
        </w:tc>
        <w:tc>
          <w:tcPr>
            <w:tcW w:type="dxa" w:w="1440"/>
          </w:tcPr>
          <w:p>
            <w:pPr>
              <w:jc w:val="center"/>
            </w:pPr>
            <w:r/>
            <w:r>
              <w:rPr>
                <w:sz w:val="20"/>
              </w:rPr>
              <w:t>Yes</w:t>
            </w:r>
          </w:p>
        </w:tc>
      </w:tr>
      <w:tr>
        <w:tc>
          <w:tcPr>
            <w:tcW w:type="dxa" w:w="1440"/>
          </w:tcPr>
          <w:p>
            <w:pPr>
              <w:jc w:val="center"/>
            </w:pPr>
            <w:r/>
            <w:r>
              <w:rPr>
                <w:sz w:val="20"/>
              </w:rPr>
            </w:r>
          </w:p>
        </w:tc>
        <w:tc>
          <w:tcPr>
            <w:tcW w:type="dxa" w:w="1440"/>
          </w:tcPr>
          <w:p>
            <w:pPr>
              <w:jc w:val="center"/>
            </w:pPr>
            <w:r/>
            <w:r>
              <w:rPr>
                <w:sz w:val="20"/>
              </w:rPr>
              <w:t>Time</w:t>
            </w:r>
          </w:p>
        </w:tc>
        <w:tc>
          <w:tcPr>
            <w:tcW w:type="dxa" w:w="1440"/>
          </w:tcPr>
          <w:p>
            <w:pPr>
              <w:jc w:val="center"/>
            </w:pPr>
            <w:r/>
            <w:r>
              <w:rPr>
                <w:sz w:val="20"/>
              </w:rPr>
              <w:t>5</w:t>
            </w:r>
          </w:p>
        </w:tc>
        <w:tc>
          <w:tcPr>
            <w:tcW w:type="dxa" w:w="1440"/>
          </w:tcPr>
          <w:p>
            <w:pPr>
              <w:jc w:val="center"/>
            </w:pPr>
            <w:r/>
            <w:r>
              <w:rPr>
                <w:sz w:val="20"/>
              </w:rPr>
              <w:t>50</w:t>
            </w:r>
          </w:p>
        </w:tc>
        <w:tc>
          <w:tcPr>
            <w:tcW w:type="dxa" w:w="1440"/>
          </w:tcPr>
          <w:p>
            <w:pPr>
              <w:jc w:val="center"/>
            </w:pPr>
            <w:r/>
            <w:r>
              <w:rPr>
                <w:sz w:val="20"/>
              </w:rPr>
              <w:t>117</w:t>
            </w:r>
          </w:p>
        </w:tc>
        <w:tc>
          <w:tcPr>
            <w:tcW w:type="dxa" w:w="1440"/>
          </w:tcPr>
          <w:p>
            <w:pPr>
              <w:jc w:val="center"/>
            </w:pPr>
            <w:r/>
            <w:r>
              <w:rPr>
                <w:sz w:val="20"/>
              </w:rPr>
              <w:t>Yes</w:t>
            </w:r>
          </w:p>
        </w:tc>
      </w:tr>
      <w:tr>
        <w:tc>
          <w:tcPr>
            <w:tcW w:type="dxa" w:w="1440"/>
          </w:tcPr>
          <w:p>
            <w:pPr>
              <w:jc w:val="center"/>
            </w:pPr>
            <w:r/>
            <w:r>
              <w:rPr>
                <w:sz w:val="20"/>
              </w:rPr>
            </w:r>
          </w:p>
        </w:tc>
        <w:tc>
          <w:tcPr>
            <w:tcW w:type="dxa" w:w="1440"/>
          </w:tcPr>
          <w:p>
            <w:pPr>
              <w:jc w:val="center"/>
            </w:pPr>
            <w:r/>
            <w:r>
              <w:rPr>
                <w:sz w:val="20"/>
              </w:rPr>
              <w:t>Quality</w:t>
            </w:r>
          </w:p>
        </w:tc>
        <w:tc>
          <w:tcPr>
            <w:tcW w:type="dxa" w:w="1440"/>
          </w:tcPr>
          <w:p>
            <w:pPr>
              <w:jc w:val="center"/>
            </w:pPr>
            <w:r/>
            <w:r>
              <w:rPr>
                <w:sz w:val="20"/>
              </w:rPr>
              <w:t>5</w:t>
            </w:r>
          </w:p>
        </w:tc>
        <w:tc>
          <w:tcPr>
            <w:tcW w:type="dxa" w:w="1440"/>
          </w:tcPr>
          <w:p>
            <w:pPr>
              <w:jc w:val="center"/>
            </w:pPr>
            <w:r/>
            <w:r>
              <w:rPr>
                <w:sz w:val="20"/>
              </w:rPr>
              <w:t>50</w:t>
            </w:r>
          </w:p>
        </w:tc>
        <w:tc>
          <w:tcPr>
            <w:tcW w:type="dxa" w:w="1440"/>
          </w:tcPr>
          <w:p>
            <w:pPr>
              <w:jc w:val="center"/>
            </w:pPr>
            <w:r/>
            <w:r>
              <w:rPr>
                <w:sz w:val="20"/>
              </w:rPr>
              <w:t>117</w:t>
            </w:r>
          </w:p>
        </w:tc>
        <w:tc>
          <w:tcPr>
            <w:tcW w:type="dxa" w:w="1440"/>
          </w:tcPr>
          <w:p>
            <w:pPr>
              <w:jc w:val="center"/>
            </w:pPr>
            <w:r/>
            <w:r>
              <w:rPr>
                <w:sz w:val="20"/>
              </w:rPr>
              <w:t>Yes</w:t>
            </w:r>
          </w:p>
        </w:tc>
      </w:tr>
      <w:tr>
        <w:tc>
          <w:tcPr>
            <w:tcW w:type="dxa" w:w="1440"/>
          </w:tcPr>
          <w:p>
            <w:pPr>
              <w:jc w:val="center"/>
            </w:pPr>
            <w:r/>
            <w:r>
              <w:rPr>
                <w:sz w:val="20"/>
              </w:rPr>
              <w:t>Stage III — Wholesale / Mandi Stage</w:t>
            </w:r>
          </w:p>
        </w:tc>
        <w:tc>
          <w:tcPr>
            <w:tcW w:type="dxa" w:w="1440"/>
          </w:tcPr>
          <w:p>
            <w:pPr>
              <w:jc w:val="center"/>
            </w:pPr>
            <w:r/>
            <w:r>
              <w:rPr>
                <w:sz w:val="20"/>
              </w:rPr>
              <w:t>Cost</w:t>
            </w:r>
          </w:p>
        </w:tc>
        <w:tc>
          <w:tcPr>
            <w:tcW w:type="dxa" w:w="1440"/>
          </w:tcPr>
          <w:p>
            <w:pPr>
              <w:jc w:val="center"/>
            </w:pPr>
            <w:r/>
            <w:r>
              <w:rPr>
                <w:sz w:val="20"/>
              </w:rPr>
              <w:t>6</w:t>
            </w:r>
          </w:p>
        </w:tc>
        <w:tc>
          <w:tcPr>
            <w:tcW w:type="dxa" w:w="1440"/>
          </w:tcPr>
          <w:p>
            <w:pPr>
              <w:jc w:val="center"/>
            </w:pPr>
            <w:r/>
            <w:r>
              <w:rPr>
                <w:sz w:val="20"/>
              </w:rPr>
              <w:t>60</w:t>
            </w:r>
          </w:p>
        </w:tc>
        <w:tc>
          <w:tcPr>
            <w:tcW w:type="dxa" w:w="1440"/>
          </w:tcPr>
          <w:p>
            <w:pPr>
              <w:jc w:val="center"/>
            </w:pPr>
            <w:r/>
            <w:r>
              <w:rPr>
                <w:sz w:val="20"/>
              </w:rPr>
              <w:t>208</w:t>
            </w:r>
          </w:p>
        </w:tc>
        <w:tc>
          <w:tcPr>
            <w:tcW w:type="dxa" w:w="1440"/>
          </w:tcPr>
          <w:p>
            <w:pPr>
              <w:jc w:val="center"/>
            </w:pPr>
            <w:r/>
            <w:r>
              <w:rPr>
                <w:sz w:val="20"/>
              </w:rPr>
              <w:t>Yes</w:t>
            </w:r>
          </w:p>
        </w:tc>
      </w:tr>
      <w:tr>
        <w:tc>
          <w:tcPr>
            <w:tcW w:type="dxa" w:w="1440"/>
          </w:tcPr>
          <w:p>
            <w:pPr>
              <w:jc w:val="center"/>
            </w:pPr>
            <w:r/>
            <w:r>
              <w:rPr>
                <w:sz w:val="20"/>
              </w:rPr>
            </w:r>
          </w:p>
        </w:tc>
        <w:tc>
          <w:tcPr>
            <w:tcW w:type="dxa" w:w="1440"/>
          </w:tcPr>
          <w:p>
            <w:pPr>
              <w:jc w:val="center"/>
            </w:pPr>
            <w:r/>
            <w:r>
              <w:rPr>
                <w:sz w:val="20"/>
              </w:rPr>
              <w:t>Time</w:t>
            </w:r>
          </w:p>
        </w:tc>
        <w:tc>
          <w:tcPr>
            <w:tcW w:type="dxa" w:w="1440"/>
          </w:tcPr>
          <w:p>
            <w:pPr>
              <w:jc w:val="center"/>
            </w:pPr>
            <w:r/>
            <w:r>
              <w:rPr>
                <w:sz w:val="20"/>
              </w:rPr>
              <w:t>5</w:t>
            </w:r>
          </w:p>
        </w:tc>
        <w:tc>
          <w:tcPr>
            <w:tcW w:type="dxa" w:w="1440"/>
          </w:tcPr>
          <w:p>
            <w:pPr>
              <w:jc w:val="center"/>
            </w:pPr>
            <w:r/>
            <w:r>
              <w:rPr>
                <w:sz w:val="20"/>
              </w:rPr>
              <w:t>50</w:t>
            </w:r>
          </w:p>
        </w:tc>
        <w:tc>
          <w:tcPr>
            <w:tcW w:type="dxa" w:w="1440"/>
          </w:tcPr>
          <w:p>
            <w:pPr>
              <w:jc w:val="center"/>
            </w:pPr>
            <w:r/>
            <w:r>
              <w:rPr>
                <w:sz w:val="20"/>
              </w:rPr>
              <w:t>208</w:t>
            </w:r>
          </w:p>
        </w:tc>
        <w:tc>
          <w:tcPr>
            <w:tcW w:type="dxa" w:w="1440"/>
          </w:tcPr>
          <w:p>
            <w:pPr>
              <w:jc w:val="center"/>
            </w:pPr>
            <w:r/>
            <w:r>
              <w:rPr>
                <w:sz w:val="20"/>
              </w:rPr>
              <w:t>Yes</w:t>
            </w:r>
          </w:p>
        </w:tc>
      </w:tr>
      <w:tr>
        <w:tc>
          <w:tcPr>
            <w:tcW w:type="dxa" w:w="1440"/>
          </w:tcPr>
          <w:p>
            <w:pPr>
              <w:jc w:val="center"/>
            </w:pPr>
            <w:r/>
            <w:r>
              <w:rPr>
                <w:sz w:val="20"/>
              </w:rPr>
            </w:r>
          </w:p>
        </w:tc>
        <w:tc>
          <w:tcPr>
            <w:tcW w:type="dxa" w:w="1440"/>
          </w:tcPr>
          <w:p>
            <w:pPr>
              <w:jc w:val="center"/>
            </w:pPr>
            <w:r/>
            <w:r>
              <w:rPr>
                <w:sz w:val="20"/>
              </w:rPr>
              <w:t>Quality</w:t>
            </w:r>
          </w:p>
        </w:tc>
        <w:tc>
          <w:tcPr>
            <w:tcW w:type="dxa" w:w="1440"/>
          </w:tcPr>
          <w:p>
            <w:pPr>
              <w:jc w:val="center"/>
            </w:pPr>
            <w:r/>
            <w:r>
              <w:rPr>
                <w:sz w:val="20"/>
              </w:rPr>
              <w:t>5</w:t>
            </w:r>
          </w:p>
        </w:tc>
        <w:tc>
          <w:tcPr>
            <w:tcW w:type="dxa" w:w="1440"/>
          </w:tcPr>
          <w:p>
            <w:pPr>
              <w:jc w:val="center"/>
            </w:pPr>
            <w:r/>
            <w:r>
              <w:rPr>
                <w:sz w:val="20"/>
              </w:rPr>
              <w:t>50</w:t>
            </w:r>
          </w:p>
        </w:tc>
        <w:tc>
          <w:tcPr>
            <w:tcW w:type="dxa" w:w="1440"/>
          </w:tcPr>
          <w:p>
            <w:pPr>
              <w:jc w:val="center"/>
            </w:pPr>
            <w:r/>
            <w:r>
              <w:rPr>
                <w:sz w:val="20"/>
              </w:rPr>
              <w:t>208</w:t>
            </w:r>
          </w:p>
        </w:tc>
        <w:tc>
          <w:tcPr>
            <w:tcW w:type="dxa" w:w="1440"/>
          </w:tcPr>
          <w:p>
            <w:pPr>
              <w:jc w:val="center"/>
            </w:pPr>
            <w:r/>
            <w:r>
              <w:rPr>
                <w:sz w:val="20"/>
              </w:rPr>
              <w:t>Yes</w:t>
            </w:r>
          </w:p>
        </w:tc>
      </w:tr>
      <w:tr>
        <w:tc>
          <w:tcPr>
            <w:tcW w:type="dxa" w:w="1440"/>
          </w:tcPr>
          <w:p>
            <w:pPr>
              <w:jc w:val="center"/>
            </w:pPr>
            <w:r/>
            <w:r>
              <w:rPr>
                <w:sz w:val="20"/>
              </w:rPr>
              <w:t>Stage IV — Retail Stage</w:t>
            </w:r>
          </w:p>
        </w:tc>
        <w:tc>
          <w:tcPr>
            <w:tcW w:type="dxa" w:w="1440"/>
          </w:tcPr>
          <w:p>
            <w:pPr>
              <w:jc w:val="center"/>
            </w:pPr>
            <w:r/>
            <w:r>
              <w:rPr>
                <w:sz w:val="20"/>
              </w:rPr>
              <w:t>Cost</w:t>
            </w:r>
          </w:p>
        </w:tc>
        <w:tc>
          <w:tcPr>
            <w:tcW w:type="dxa" w:w="1440"/>
          </w:tcPr>
          <w:p>
            <w:pPr>
              <w:jc w:val="center"/>
            </w:pPr>
            <w:r/>
            <w:r>
              <w:rPr>
                <w:sz w:val="20"/>
              </w:rPr>
              <w:t>6</w:t>
            </w:r>
          </w:p>
        </w:tc>
        <w:tc>
          <w:tcPr>
            <w:tcW w:type="dxa" w:w="1440"/>
          </w:tcPr>
          <w:p>
            <w:pPr>
              <w:jc w:val="center"/>
            </w:pPr>
            <w:r/>
            <w:r>
              <w:rPr>
                <w:sz w:val="20"/>
              </w:rPr>
              <w:t>60</w:t>
            </w:r>
          </w:p>
        </w:tc>
        <w:tc>
          <w:tcPr>
            <w:tcW w:type="dxa" w:w="1440"/>
          </w:tcPr>
          <w:p>
            <w:pPr>
              <w:jc w:val="center"/>
            </w:pPr>
            <w:r/>
            <w:r>
              <w:rPr>
                <w:sz w:val="20"/>
              </w:rPr>
              <w:t>130</w:t>
            </w:r>
          </w:p>
        </w:tc>
        <w:tc>
          <w:tcPr>
            <w:tcW w:type="dxa" w:w="1440"/>
          </w:tcPr>
          <w:p>
            <w:pPr>
              <w:jc w:val="center"/>
            </w:pPr>
            <w:r/>
            <w:r>
              <w:rPr>
                <w:sz w:val="20"/>
              </w:rPr>
              <w:t>Yes</w:t>
            </w:r>
          </w:p>
        </w:tc>
      </w:tr>
      <w:tr>
        <w:tc>
          <w:tcPr>
            <w:tcW w:type="dxa" w:w="1440"/>
          </w:tcPr>
          <w:p>
            <w:pPr>
              <w:jc w:val="center"/>
            </w:pPr>
            <w:r/>
            <w:r>
              <w:rPr>
                <w:sz w:val="20"/>
              </w:rPr>
            </w:r>
          </w:p>
        </w:tc>
        <w:tc>
          <w:tcPr>
            <w:tcW w:type="dxa" w:w="1440"/>
          </w:tcPr>
          <w:p>
            <w:pPr>
              <w:jc w:val="center"/>
            </w:pPr>
            <w:r/>
            <w:r>
              <w:rPr>
                <w:sz w:val="20"/>
              </w:rPr>
              <w:t>Time</w:t>
            </w:r>
          </w:p>
        </w:tc>
        <w:tc>
          <w:tcPr>
            <w:tcW w:type="dxa" w:w="1440"/>
          </w:tcPr>
          <w:p>
            <w:pPr>
              <w:jc w:val="center"/>
            </w:pPr>
            <w:r/>
            <w:r>
              <w:rPr>
                <w:sz w:val="20"/>
              </w:rPr>
              <w:t>4</w:t>
            </w:r>
          </w:p>
        </w:tc>
        <w:tc>
          <w:tcPr>
            <w:tcW w:type="dxa" w:w="1440"/>
          </w:tcPr>
          <w:p>
            <w:pPr>
              <w:jc w:val="center"/>
            </w:pPr>
            <w:r/>
            <w:r>
              <w:rPr>
                <w:sz w:val="20"/>
              </w:rPr>
              <w:t>40</w:t>
            </w:r>
          </w:p>
        </w:tc>
        <w:tc>
          <w:tcPr>
            <w:tcW w:type="dxa" w:w="1440"/>
          </w:tcPr>
          <w:p>
            <w:pPr>
              <w:jc w:val="center"/>
            </w:pPr>
            <w:r/>
            <w:r>
              <w:rPr>
                <w:sz w:val="20"/>
              </w:rPr>
              <w:t>130</w:t>
            </w:r>
          </w:p>
        </w:tc>
        <w:tc>
          <w:tcPr>
            <w:tcW w:type="dxa" w:w="1440"/>
          </w:tcPr>
          <w:p>
            <w:pPr>
              <w:jc w:val="center"/>
            </w:pPr>
            <w:r/>
            <w:r>
              <w:rPr>
                <w:sz w:val="20"/>
              </w:rPr>
              <w:t>Yes</w:t>
            </w:r>
          </w:p>
        </w:tc>
      </w:tr>
      <w:tr>
        <w:tc>
          <w:tcPr>
            <w:tcW w:type="dxa" w:w="1440"/>
          </w:tcPr>
          <w:p>
            <w:pPr>
              <w:jc w:val="center"/>
            </w:pPr>
            <w:r/>
            <w:r>
              <w:rPr>
                <w:sz w:val="20"/>
              </w:rPr>
            </w:r>
          </w:p>
        </w:tc>
        <w:tc>
          <w:tcPr>
            <w:tcW w:type="dxa" w:w="1440"/>
          </w:tcPr>
          <w:p>
            <w:pPr>
              <w:jc w:val="center"/>
            </w:pPr>
            <w:r/>
            <w:r>
              <w:rPr>
                <w:sz w:val="20"/>
              </w:rPr>
              <w:t>Quality</w:t>
            </w:r>
          </w:p>
        </w:tc>
        <w:tc>
          <w:tcPr>
            <w:tcW w:type="dxa" w:w="1440"/>
          </w:tcPr>
          <w:p>
            <w:pPr>
              <w:jc w:val="center"/>
            </w:pPr>
            <w:r/>
            <w:r>
              <w:rPr>
                <w:sz w:val="20"/>
              </w:rPr>
              <w:t>5</w:t>
            </w:r>
          </w:p>
        </w:tc>
        <w:tc>
          <w:tcPr>
            <w:tcW w:type="dxa" w:w="1440"/>
          </w:tcPr>
          <w:p>
            <w:pPr>
              <w:jc w:val="center"/>
            </w:pPr>
            <w:r/>
            <w:r>
              <w:rPr>
                <w:sz w:val="20"/>
              </w:rPr>
              <w:t>50</w:t>
            </w:r>
          </w:p>
        </w:tc>
        <w:tc>
          <w:tcPr>
            <w:tcW w:type="dxa" w:w="1440"/>
          </w:tcPr>
          <w:p>
            <w:pPr>
              <w:jc w:val="center"/>
            </w:pPr>
            <w:r/>
            <w:r>
              <w:rPr>
                <w:sz w:val="20"/>
              </w:rPr>
              <w:t>130</w:t>
            </w:r>
          </w:p>
        </w:tc>
        <w:tc>
          <w:tcPr>
            <w:tcW w:type="dxa" w:w="1440"/>
          </w:tcPr>
          <w:p>
            <w:pPr>
              <w:jc w:val="center"/>
            </w:pPr>
            <w:r/>
            <w:r>
              <w:rPr>
                <w:sz w:val="20"/>
              </w:rPr>
              <w:t>Yes</w:t>
            </w:r>
          </w:p>
        </w:tc>
      </w:tr>
      <w:tr>
        <w:tc>
          <w:tcPr>
            <w:tcW w:type="dxa" w:w="1440"/>
          </w:tcPr>
          <w:p>
            <w:pPr>
              <w:jc w:val="center"/>
            </w:pPr>
            <w:r/>
            <w:r>
              <w:rPr>
                <w:sz w:val="20"/>
              </w:rPr>
              <w:t>Stage V — Transportation Stage</w:t>
            </w:r>
          </w:p>
        </w:tc>
        <w:tc>
          <w:tcPr>
            <w:tcW w:type="dxa" w:w="1440"/>
          </w:tcPr>
          <w:p>
            <w:pPr>
              <w:jc w:val="center"/>
            </w:pPr>
            <w:r/>
            <w:r>
              <w:rPr>
                <w:sz w:val="20"/>
              </w:rPr>
              <w:t>Cost</w:t>
            </w:r>
          </w:p>
        </w:tc>
        <w:tc>
          <w:tcPr>
            <w:tcW w:type="dxa" w:w="1440"/>
          </w:tcPr>
          <w:p>
            <w:pPr>
              <w:jc w:val="center"/>
            </w:pPr>
            <w:r/>
            <w:r>
              <w:rPr>
                <w:sz w:val="20"/>
              </w:rPr>
              <w:t>6</w:t>
            </w:r>
          </w:p>
        </w:tc>
        <w:tc>
          <w:tcPr>
            <w:tcW w:type="dxa" w:w="1440"/>
          </w:tcPr>
          <w:p>
            <w:pPr>
              <w:jc w:val="center"/>
            </w:pPr>
            <w:r/>
            <w:r>
              <w:rPr>
                <w:sz w:val="20"/>
              </w:rPr>
              <w:t>60</w:t>
            </w:r>
          </w:p>
        </w:tc>
        <w:tc>
          <w:tcPr>
            <w:tcW w:type="dxa" w:w="1440"/>
          </w:tcPr>
          <w:p>
            <w:pPr>
              <w:jc w:val="center"/>
            </w:pPr>
            <w:r/>
            <w:r>
              <w:rPr>
                <w:sz w:val="20"/>
              </w:rPr>
              <w:t>130</w:t>
            </w:r>
          </w:p>
        </w:tc>
        <w:tc>
          <w:tcPr>
            <w:tcW w:type="dxa" w:w="1440"/>
          </w:tcPr>
          <w:p>
            <w:pPr>
              <w:jc w:val="center"/>
            </w:pPr>
            <w:r/>
            <w:r>
              <w:rPr>
                <w:sz w:val="20"/>
              </w:rPr>
              <w:t>Yes</w:t>
            </w:r>
          </w:p>
        </w:tc>
      </w:tr>
      <w:tr>
        <w:tc>
          <w:tcPr>
            <w:tcW w:type="dxa" w:w="1440"/>
          </w:tcPr>
          <w:p>
            <w:pPr>
              <w:jc w:val="center"/>
            </w:pPr>
            <w:r/>
            <w:r>
              <w:rPr>
                <w:sz w:val="20"/>
              </w:rPr>
            </w:r>
          </w:p>
        </w:tc>
        <w:tc>
          <w:tcPr>
            <w:tcW w:type="dxa" w:w="1440"/>
          </w:tcPr>
          <w:p>
            <w:pPr>
              <w:jc w:val="center"/>
            </w:pPr>
            <w:r/>
            <w:r>
              <w:rPr>
                <w:sz w:val="20"/>
              </w:rPr>
              <w:t>Time</w:t>
            </w:r>
          </w:p>
        </w:tc>
        <w:tc>
          <w:tcPr>
            <w:tcW w:type="dxa" w:w="1440"/>
          </w:tcPr>
          <w:p>
            <w:pPr>
              <w:jc w:val="center"/>
            </w:pPr>
            <w:r/>
            <w:r>
              <w:rPr>
                <w:sz w:val="20"/>
              </w:rPr>
              <w:t>5</w:t>
            </w:r>
          </w:p>
        </w:tc>
        <w:tc>
          <w:tcPr>
            <w:tcW w:type="dxa" w:w="1440"/>
          </w:tcPr>
          <w:p>
            <w:pPr>
              <w:jc w:val="center"/>
            </w:pPr>
            <w:r/>
            <w:r>
              <w:rPr>
                <w:sz w:val="20"/>
              </w:rPr>
              <w:t>50</w:t>
            </w:r>
          </w:p>
        </w:tc>
        <w:tc>
          <w:tcPr>
            <w:tcW w:type="dxa" w:w="1440"/>
          </w:tcPr>
          <w:p>
            <w:pPr>
              <w:jc w:val="center"/>
            </w:pPr>
            <w:r/>
            <w:r>
              <w:rPr>
                <w:sz w:val="20"/>
              </w:rPr>
              <w:t>130</w:t>
            </w:r>
          </w:p>
        </w:tc>
        <w:tc>
          <w:tcPr>
            <w:tcW w:type="dxa" w:w="1440"/>
          </w:tcPr>
          <w:p>
            <w:pPr>
              <w:jc w:val="center"/>
            </w:pPr>
            <w:r/>
            <w:r>
              <w:rPr>
                <w:sz w:val="20"/>
              </w:rPr>
              <w:t>Yes</w:t>
            </w:r>
          </w:p>
        </w:tc>
      </w:tr>
      <w:tr>
        <w:tc>
          <w:tcPr>
            <w:tcW w:type="dxa" w:w="1440"/>
          </w:tcPr>
          <w:p>
            <w:pPr>
              <w:jc w:val="center"/>
            </w:pPr>
            <w:r/>
            <w:r>
              <w:rPr>
                <w:sz w:val="20"/>
              </w:rPr>
            </w:r>
          </w:p>
        </w:tc>
        <w:tc>
          <w:tcPr>
            <w:tcW w:type="dxa" w:w="1440"/>
          </w:tcPr>
          <w:p>
            <w:pPr>
              <w:jc w:val="center"/>
            </w:pPr>
            <w:r/>
            <w:r>
              <w:rPr>
                <w:sz w:val="20"/>
              </w:rPr>
              <w:t>Quality</w:t>
            </w:r>
          </w:p>
        </w:tc>
        <w:tc>
          <w:tcPr>
            <w:tcW w:type="dxa" w:w="1440"/>
          </w:tcPr>
          <w:p>
            <w:pPr>
              <w:jc w:val="center"/>
            </w:pPr>
            <w:r/>
            <w:r>
              <w:rPr>
                <w:sz w:val="20"/>
              </w:rPr>
              <w:t>5</w:t>
            </w:r>
          </w:p>
        </w:tc>
        <w:tc>
          <w:tcPr>
            <w:tcW w:type="dxa" w:w="1440"/>
          </w:tcPr>
          <w:p>
            <w:pPr>
              <w:jc w:val="center"/>
            </w:pPr>
            <w:r/>
            <w:r>
              <w:rPr>
                <w:sz w:val="20"/>
              </w:rPr>
              <w:t>50</w:t>
            </w:r>
          </w:p>
        </w:tc>
        <w:tc>
          <w:tcPr>
            <w:tcW w:type="dxa" w:w="1440"/>
          </w:tcPr>
          <w:p>
            <w:pPr>
              <w:jc w:val="center"/>
            </w:pPr>
            <w:r/>
            <w:r>
              <w:rPr>
                <w:sz w:val="20"/>
              </w:rPr>
              <w:t>130</w:t>
            </w:r>
          </w:p>
        </w:tc>
        <w:tc>
          <w:tcPr>
            <w:tcW w:type="dxa" w:w="1440"/>
          </w:tcPr>
          <w:p>
            <w:pPr>
              <w:jc w:val="center"/>
            </w:pPr>
            <w:r/>
            <w:r>
              <w:rPr>
                <w:sz w:val="20"/>
              </w:rPr>
              <w:t>Yes</w:t>
            </w:r>
          </w:p>
        </w:tc>
      </w:tr>
    </w:tbl>
    <w:p/>
    <w:p>
      <w:pPr>
        <w:jc w:val="both"/>
      </w:pPr>
      <w:r>
        <w:rPr>
          <w:b w:val="0"/>
          <w:i w:val="0"/>
          <w:sz w:val="22"/>
        </w:rPr>
        <w:t>Reliability of each scale was assessed using Cronbach's α prior to the factor-analytic procedures. Across all fifteen sub-scales (five stages × three aspects), Cronbach's α ranged from 0.82 to 0.92, with a mean of 0.885; all values comfortably exceed the 0.70 threshold recommended by Nunnally (1978) and confirm strong internal consistency. The Kaiser–Meyer–Olkin (KMO) measure of sampling adequacy and Bartlett's test of sphericity were additionally examined for each scale prior to factor extraction. PCA with varimax rotation was used to extract factors, and items with loadings ≥ 0.50 were retained. For the Farm-stage scale, three components — interpreted respectively as the Cost factor (27.2 % variance), the Quality factor (21.6 %) and the Time factor (19.2 %) — together explain 68.0 % of the variance, indicating a clean and theoretically interpretable factor structure.</w:t>
      </w:r>
    </w:p>
    <w:p>
      <w:pPr>
        <w:pStyle w:val="Heading1"/>
      </w:pPr>
      <w:r>
        <w:rPr>
          <w:color w:val="000000"/>
        </w:rPr>
        <w:t>4.8  For Research Objective 3</w:t>
      </w:r>
    </w:p>
    <w:p>
      <w:pPr>
        <w:jc w:val="both"/>
      </w:pPr>
      <w:r>
        <w:rPr>
          <w:b w:val="0"/>
          <w:i/>
          <w:sz w:val="22"/>
        </w:rPr>
        <w:t>RO 3 — To develop a framework for improving the distribution-channel efficiency of Malta with specific reference to the Garhwal region.</w:t>
      </w:r>
    </w:p>
    <w:p>
      <w:pPr>
        <w:jc w:val="both"/>
      </w:pPr>
      <w:r>
        <w:rPr>
          <w:b w:val="0"/>
          <w:i w:val="0"/>
          <w:sz w:val="22"/>
        </w:rPr>
        <w:t>Since it was not feasible for an individual researcher to address every issue surfaced by RO 2, this objective focuses on the major reasons under each factor leading to inefficiency. The factor loading of every variable across the stages of the Malta distribution channel was examined, and the principal variable under each factor was identified on the basis of the highest factor loading (Negi and Anand, 2018a, 2018b; Tiwari, 2012). The higher the factor loading, the greater the contribution of the variable to the factor (Hair et al., 2010; Field, 2009; Malhotra, 2007; Harman, 1976). Factor loadings are very similar to weights and signify the strength of correlation between the factor and the variable (Kline, 1994). Variables with the highest loadings therefore represent the major reasons that contribute most to inefficiency and that demand the most immediate attention if distribution-channel efficiency is to be improved (Tiwari, 2012; Hair et al., 2010; Field, 2009; Malhotra, 2007; Harman, 1976).</w:t>
      </w:r>
    </w:p>
    <w:p>
      <w:pPr>
        <w:jc w:val="both"/>
      </w:pPr>
      <w:r>
        <w:rPr>
          <w:b w:val="0"/>
          <w:i w:val="0"/>
          <w:sz w:val="22"/>
        </w:rPr>
        <w:t>Qualitative research was used to derive measures and to construct the improvement framework. Qualitative methods help to collect, analyse and understand raw data by perceiving participants' reactions (Creswell, 1994); they sit within the interpretivist tradition and are well suited to understanding the diverse and complex nature of human action. Qualitative data emphasise in-depth enquiry, detailed description and direct quotations that capture experiences and personal viewpoints (Patton, 1990). The approach involves observation, focus-group discussions and interviews (Cavana et al., 2008). In this study, in-depth semi-structured interviews were used to derive measures for the highest-loading reasons. Pre-formulated questions guided the interview, but the format also allowed new questions to emerge during the conversation (Myers, 2009, p. 124), giving each interviewee the freedom to add meaningful insights. Measures for items outside this set are beyond the scope of the present study and are acknowledged as a limitation.</w:t>
      </w:r>
    </w:p>
    <w:p>
      <w:pPr>
        <w:pStyle w:val="Heading2"/>
      </w:pPr>
      <w:r>
        <w:rPr>
          <w:color w:val="000000"/>
        </w:rPr>
        <w:t>4.8.1  Conceptualisation and Protocol Design</w:t>
      </w:r>
    </w:p>
    <w:p>
      <w:pPr>
        <w:jc w:val="both"/>
      </w:pPr>
      <w:r>
        <w:rPr>
          <w:b w:val="0"/>
          <w:i w:val="0"/>
          <w:sz w:val="22"/>
        </w:rPr>
        <w:t>Based on the highest factor loadings obtained in RO 2, only those variables that emerged as the most critical reasons for inefficiency in each factor across the stages of the Malta distribution channel were used for conceptualisation (Appendix IV); accordingly, an interview protocol was designed for each stage to elicit measures for improving distribution-channel efficiency (Appendix V). A protocol is a formal document comprising the interview questionnaire together with the rules of administration. During data collection, construct validity was secured through multiple sources of evidence and through use of the protocol; reliability was ensured through consistent application of the same protocol to every interviewee (Yin, 2003). A small pilot was conducted with Malta supply-chain experts to verify that the questions were comprehensible to the respondents and to test the rationality, narrowness or breadth of each question.</w:t>
      </w:r>
    </w:p>
    <w:p>
      <w:pPr>
        <w:pStyle w:val="Heading2"/>
      </w:pPr>
      <w:r>
        <w:rPr>
          <w:color w:val="000000"/>
        </w:rPr>
        <w:t>4.8.2  Sampling Design</w:t>
      </w:r>
    </w:p>
    <w:p>
      <w:pPr>
        <w:jc w:val="both"/>
      </w:pPr>
      <w:r>
        <w:rPr>
          <w:b w:val="0"/>
          <w:i w:val="0"/>
          <w:sz w:val="22"/>
        </w:rPr>
        <w:t>One of the most vital components of a qualitative study is the selection of respondents who are willing to provide information that is a true representation of the targeted population (Cavana et al., 2008). Bryman and Bell (2007) note that statistical representativeness need not be the primary focus in qualitative research, since the emphasis is on a thorough analysis of meaning. Cavana et al. (2008, p. 137) highlight the advantage of non-probability methods for extracting high-quality information rapidly from informed respondents. Accordingly, a judgmental (purposive) sampling method was adopted for the in-depth interviews. In this approach, the researcher is fully clear about the information sought and selects respondents who, by virtue of their experience, are best placed to provide it (Bernard, 2002). The method is particularly useful for identifying information-rich cases that maximise the value extracted from a finite research budget (Patton, 2002). Beyond expertise, willingness to participate and the ability to communicate real-life experience in a critical and insightful manner were also considered (Bernard, 2002; Spradley, 1979).</w:t>
      </w:r>
    </w:p>
    <w:p>
      <w:pPr>
        <w:jc w:val="both"/>
      </w:pPr>
      <w:r>
        <w:rPr>
          <w:b w:val="0"/>
          <w:i w:val="0"/>
          <w:sz w:val="22"/>
        </w:rPr>
        <w:t>Judgmental sampling places considerable weight on data saturation — continuing interviews until no new substantive information emerges (Miles and Huberman, 1994). Sample sizes for the qualitative phase were therefore determined by saturation rather than by an a priori target. The stage-wise number of experts engaged is shown in Table 4.7.</w:t>
      </w:r>
    </w:p>
    <w:p>
      <w:pPr>
        <w:jc w:val="center"/>
      </w:pPr>
      <w:r>
        <w:rPr>
          <w:b/>
          <w:sz w:val="20"/>
        </w:rPr>
        <w:t>Table 4.7: Sample Size Based on Saturation — Malta Distribution Channel (Qualitative Phase, RO 3)</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D9E1F2"/>
          </w:tcPr>
          <w:p>
            <w:pPr>
              <w:jc w:val="center"/>
            </w:pPr>
            <w:r/>
            <w:r>
              <w:rPr>
                <w:b/>
                <w:sz w:val="20"/>
              </w:rPr>
              <w:t>Stage</w:t>
            </w:r>
          </w:p>
        </w:tc>
        <w:tc>
          <w:tcPr>
            <w:tcW w:type="dxa" w:w="4320"/>
            <w:shd w:val="clear" w:color="auto" w:fill="D9E1F2"/>
          </w:tcPr>
          <w:p>
            <w:pPr>
              <w:jc w:val="center"/>
            </w:pPr>
            <w:r/>
            <w:r>
              <w:rPr>
                <w:b/>
                <w:sz w:val="20"/>
              </w:rPr>
              <w:t>No. of Experts</w:t>
            </w:r>
          </w:p>
        </w:tc>
      </w:tr>
      <w:tr>
        <w:tc>
          <w:tcPr>
            <w:tcW w:type="dxa" w:w="4320"/>
          </w:tcPr>
          <w:p>
            <w:pPr>
              <w:jc w:val="center"/>
            </w:pPr>
            <w:r/>
            <w:r>
              <w:rPr>
                <w:sz w:val="20"/>
              </w:rPr>
              <w:t>Stage I — Farm Stage</w:t>
            </w:r>
          </w:p>
        </w:tc>
        <w:tc>
          <w:tcPr>
            <w:tcW w:type="dxa" w:w="4320"/>
          </w:tcPr>
          <w:p>
            <w:pPr>
              <w:jc w:val="center"/>
            </w:pPr>
            <w:r/>
            <w:r>
              <w:rPr>
                <w:sz w:val="20"/>
              </w:rPr>
              <w:t>16</w:t>
            </w:r>
          </w:p>
        </w:tc>
      </w:tr>
      <w:tr>
        <w:tc>
          <w:tcPr>
            <w:tcW w:type="dxa" w:w="4320"/>
          </w:tcPr>
          <w:p>
            <w:pPr>
              <w:jc w:val="center"/>
            </w:pPr>
            <w:r/>
            <w:r>
              <w:rPr>
                <w:sz w:val="20"/>
              </w:rPr>
              <w:t>Stage II — Village Trader / Middlemen Stage</w:t>
            </w:r>
          </w:p>
        </w:tc>
        <w:tc>
          <w:tcPr>
            <w:tcW w:type="dxa" w:w="4320"/>
          </w:tcPr>
          <w:p>
            <w:pPr>
              <w:jc w:val="center"/>
            </w:pPr>
            <w:r/>
            <w:r>
              <w:rPr>
                <w:sz w:val="20"/>
              </w:rPr>
              <w:t>10</w:t>
            </w:r>
          </w:p>
        </w:tc>
      </w:tr>
      <w:tr>
        <w:tc>
          <w:tcPr>
            <w:tcW w:type="dxa" w:w="4320"/>
          </w:tcPr>
          <w:p>
            <w:pPr>
              <w:jc w:val="center"/>
            </w:pPr>
            <w:r/>
            <w:r>
              <w:rPr>
                <w:sz w:val="20"/>
              </w:rPr>
              <w:t>Stage III — Wholesale / Mandi Stage</w:t>
            </w:r>
          </w:p>
        </w:tc>
        <w:tc>
          <w:tcPr>
            <w:tcW w:type="dxa" w:w="4320"/>
          </w:tcPr>
          <w:p>
            <w:pPr>
              <w:jc w:val="center"/>
            </w:pPr>
            <w:r/>
            <w:r>
              <w:rPr>
                <w:sz w:val="20"/>
              </w:rPr>
              <w:t>14</w:t>
            </w:r>
          </w:p>
        </w:tc>
      </w:tr>
      <w:tr>
        <w:tc>
          <w:tcPr>
            <w:tcW w:type="dxa" w:w="4320"/>
          </w:tcPr>
          <w:p>
            <w:pPr>
              <w:jc w:val="center"/>
            </w:pPr>
            <w:r/>
            <w:r>
              <w:rPr>
                <w:sz w:val="20"/>
              </w:rPr>
              <w:t>Stage IV — Retail Stage</w:t>
            </w:r>
          </w:p>
        </w:tc>
        <w:tc>
          <w:tcPr>
            <w:tcW w:type="dxa" w:w="4320"/>
          </w:tcPr>
          <w:p>
            <w:pPr>
              <w:jc w:val="center"/>
            </w:pPr>
            <w:r/>
            <w:r>
              <w:rPr>
                <w:sz w:val="20"/>
              </w:rPr>
              <w:t>11</w:t>
            </w:r>
          </w:p>
        </w:tc>
      </w:tr>
      <w:tr>
        <w:tc>
          <w:tcPr>
            <w:tcW w:type="dxa" w:w="4320"/>
          </w:tcPr>
          <w:p>
            <w:pPr>
              <w:jc w:val="center"/>
            </w:pPr>
            <w:r/>
            <w:r>
              <w:rPr>
                <w:sz w:val="20"/>
              </w:rPr>
              <w:t>Stage V — Transportation Stage</w:t>
            </w:r>
          </w:p>
        </w:tc>
        <w:tc>
          <w:tcPr>
            <w:tcW w:type="dxa" w:w="4320"/>
          </w:tcPr>
          <w:p>
            <w:pPr>
              <w:jc w:val="center"/>
            </w:pPr>
            <w:r/>
            <w:r>
              <w:rPr>
                <w:sz w:val="20"/>
              </w:rPr>
              <w:t>14</w:t>
            </w:r>
          </w:p>
        </w:tc>
      </w:tr>
      <w:tr>
        <w:tc>
          <w:tcPr>
            <w:tcW w:type="dxa" w:w="4320"/>
          </w:tcPr>
          <w:p>
            <w:pPr>
              <w:jc w:val="center"/>
            </w:pPr>
            <w:r/>
            <w:r>
              <w:rPr>
                <w:sz w:val="20"/>
              </w:rPr>
              <w:t>Total</w:t>
            </w:r>
          </w:p>
        </w:tc>
        <w:tc>
          <w:tcPr>
            <w:tcW w:type="dxa" w:w="4320"/>
          </w:tcPr>
          <w:p>
            <w:pPr>
              <w:jc w:val="center"/>
            </w:pPr>
            <w:r/>
            <w:r>
              <w:rPr>
                <w:sz w:val="20"/>
              </w:rPr>
              <w:t>65</w:t>
            </w:r>
          </w:p>
        </w:tc>
      </w:tr>
    </w:tbl>
    <w:p/>
    <w:p>
      <w:pPr>
        <w:jc w:val="both"/>
      </w:pPr>
      <w:r>
        <w:rPr>
          <w:b w:val="0"/>
          <w:i w:val="0"/>
          <w:sz w:val="22"/>
        </w:rPr>
        <w:t>Prior to each interview, respondents were assured that the information collected would be confidential and used solely for academic purposes. Responses were audio-recorded with consent, transcribed, and inductively coded. Sample transcripts and the codebook are reproduced in Appendices VI and VII. Measures for each high-loading variable were derived from the transcribed conversations and the resulting codes; based on these, the improvement framework was assembled. Findings were further reviewed by an independent expert, as recommended by Yin (2003), whose evaluation corroborated the conclusions of the study. To enhance the overall quality of the research, triangulation was attempted by obtaining data from varied informants representing different stages of the channel, by vetting findings with an independent expert, and by adhering consistently to the interview protocol throughout (Yin, 2003).</w:t>
      </w:r>
    </w:p>
    <w:p>
      <w:pPr>
        <w:jc w:val="both"/>
      </w:pPr>
      <w:r>
        <w:rPr>
          <w:b/>
          <w:i w:val="0"/>
          <w:sz w:val="22"/>
        </w:rPr>
        <w:t>The steps followed for this objective are as follows:</w:t>
      </w:r>
    </w:p>
    <w:p>
      <w:pPr>
        <w:pStyle w:val="ListNumber"/>
      </w:pPr>
      <w:r>
        <w:t>1. Selection of experts on the basis of judgmental sampling, comprising: (a) Malta / horticulture supply-chain experts; (b) cold-chain experts; (c) logistics experts; (d) Garhwal-based agribusiness experts and FPO functionaries; (e) officials of the Horticulture Department, Government of Uttarakhand, and the Mandi Samiti; and (f) academic experts in agribusiness and supply-chain management.</w:t>
      </w:r>
    </w:p>
    <w:p>
      <w:pPr>
        <w:pStyle w:val="ListNumber"/>
      </w:pPr>
      <w:r>
        <w:t>2. Conduct of semi-structured interviews with the experts.</w:t>
      </w:r>
    </w:p>
    <w:p>
      <w:pPr>
        <w:pStyle w:val="ListNumber"/>
      </w:pPr>
      <w:r>
        <w:t>3. Verbatim transcription of the recorded conversations.</w:t>
      </w:r>
    </w:p>
    <w:p>
      <w:pPr>
        <w:pStyle w:val="ListNumber"/>
      </w:pPr>
      <w:r>
        <w:t>4. Inductive coding of the transcripts.</w:t>
      </w:r>
    </w:p>
    <w:p>
      <w:pPr>
        <w:pStyle w:val="ListNumber"/>
      </w:pPr>
      <w:r>
        <w:t>5. Derivation of measures for improving distribution-channel efficiency of Malta on the basis of the codes.</w:t>
      </w:r>
    </w:p>
    <w:p>
      <w:pPr>
        <w:pStyle w:val="ListNumber"/>
      </w:pPr>
      <w:r>
        <w:t>6. Construction of the improvement framework on the basis of the consolidated output.</w:t>
      </w:r>
    </w:p>
    <w:p>
      <w:pPr>
        <w:pStyle w:val="Heading1"/>
      </w:pPr>
      <w:r>
        <w:rPr>
          <w:color w:val="000000"/>
        </w:rPr>
        <w:t>4.9  Scope of the Study</w:t>
      </w:r>
    </w:p>
    <w:p>
      <w:pPr>
        <w:jc w:val="both"/>
      </w:pPr>
      <w:r>
        <w:rPr>
          <w:b w:val="0"/>
          <w:i w:val="0"/>
          <w:sz w:val="22"/>
        </w:rPr>
        <w:t>The scope of this study is restricted to the distribution channel of Malta (Citrus sinensis) in the Garhwal region of Uttarakhand. The four districts of Pauri Garhwal, Tehri Garhwal, Rudraprayag and Chamoli were selected as the production base because they account for the largest concentration of Malta cultivation in the state and represent a key livelihood crop for mid-hill farmers. The channel was traced from the farm gate, through the village trader / middleman and the local commission agent, to the wholesale mandi (with Dehradun and Haridwar serving as the principal aggregation points and Saharanpur and Delhi-Azadpur as onward destinations), and onwards to the retailer; this segment was selected because the bulk of the inefficiency in the Malta channel is concentrated between these stages. Studies of consumption-stage behaviour, of export markets, and of citrus varieties other than Malta are outside the scope of the present work and are flagged as opportunities for future research.</w:t>
      </w:r>
    </w:p>
    <w:p>
      <w:pPr>
        <w:pStyle w:val="Heading1"/>
      </w:pPr>
      <w:r>
        <w:rPr>
          <w:color w:val="000000"/>
        </w:rPr>
        <w:t>Concluding Remarks</w:t>
      </w:r>
    </w:p>
    <w:p>
      <w:pPr>
        <w:jc w:val="both"/>
      </w:pPr>
      <w:r>
        <w:rPr>
          <w:b w:val="0"/>
          <w:i w:val="0"/>
          <w:sz w:val="22"/>
        </w:rPr>
        <w:t>This chapter has set out the research methodology adopted to attain the stated objectives. Both exploratory and conclusive research designs have been used. Data collection and analysis combine quantitative methods (structured questionnaires, descriptive analysis, reliability testing via Cronbach's α, and principal component / exploratory factor analysis) with qualitative methods (semi-structured expert interviews, transcription and inductive coding) in a sequential mixed-method design. The chapter has also articulated the rationale, the problem, the research questions and objectives, the sampling design, the administration of the survey and the scope of the work. The next chapter presents the data analysis and the findings of the study in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