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i w:val="0"/>
          <w:sz w:val="32"/>
        </w:rPr>
        <w:t>CHAPTER 3</w:t>
      </w:r>
    </w:p>
    <w:p>
      <w:pPr>
        <w:spacing w:after="360"/>
        <w:jc w:val="center"/>
      </w:pPr>
      <w:r>
        <w:rPr>
          <w:rFonts w:ascii="Times New Roman" w:hAnsi="Times New Roman" w:cs="Times New Roman"/>
          <w:b/>
          <w:i w:val="0"/>
          <w:sz w:val="28"/>
        </w:rPr>
        <w:t>RESEARCH DESIGN AND METHODOLOGY</w:t>
      </w:r>
    </w:p>
    <w:p>
      <w:pPr>
        <w:keepNext/>
        <w:spacing w:before="240" w:after="120"/>
        <w:jc w:val="left"/>
      </w:pPr>
      <w:r>
        <w:rPr>
          <w:rFonts w:ascii="Times New Roman" w:hAnsi="Times New Roman" w:cs="Times New Roman"/>
          <w:b/>
          <w:i w:val="0"/>
          <w:sz w:val="28"/>
        </w:rPr>
        <w:t>3.1  Introduction</w:t>
      </w:r>
    </w:p>
    <w:p>
      <w:pPr>
        <w:spacing w:line="360" w:lineRule="auto" w:after="120"/>
        <w:ind w:firstLine="425"/>
        <w:jc w:val="both"/>
      </w:pPr>
      <w:r>
        <w:rPr>
          <w:rFonts w:ascii="Times New Roman" w:hAnsi="Times New Roman" w:cs="Times New Roman"/>
          <w:b w:val="0"/>
          <w:i w:val="0"/>
          <w:sz w:val="24"/>
        </w:rPr>
        <w:t>The present chapter explains the overall blueprint that has been followed to carry out the study on the factors impacting distribution channel optimisation of Malta (Citrus sinensis) in the Garhwal region of Uttarakhand. The chapter begins with the philosophical orientation of the research, moves through the design choices, and finally settles on the operational steps adopted in the field. The intention here is not only to describe what was done but also to give the reader a transparent view of why each step was taken, so that the study remains traceable and replicable. Malta is a less-organised horticultural produce of the mid-hills, and its supply chain crosses several physical and human handovers from the orchard to the consumer. To capture this complexity, the methodology has been built around a mixed-method, multi-stage logic that respects both the lived experience of the stakeholders and the analytical rigour expected of academic research.</w:t>
      </w:r>
    </w:p>
    <w:p>
      <w:pPr>
        <w:spacing w:before="160" w:after="40"/>
        <w:jc w:val="center"/>
      </w:pPr>
      <w:r>
        <w:drawing>
          <wp:inline xmlns:a="http://schemas.openxmlformats.org/drawingml/2006/main" xmlns:pic="http://schemas.openxmlformats.org/drawingml/2006/picture">
            <wp:extent cx="5120640" cy="7258561"/>
            <wp:docPr id="1" name="Picture 1"/>
            <wp:cNvGraphicFramePr>
              <a:graphicFrameLocks noChangeAspect="1"/>
            </wp:cNvGraphicFramePr>
            <a:graphic>
              <a:graphicData uri="http://schemas.openxmlformats.org/drawingml/2006/picture">
                <pic:pic>
                  <pic:nvPicPr>
                    <pic:cNvPr id="0" name="fig_3_1_research_process.png"/>
                    <pic:cNvPicPr/>
                  </pic:nvPicPr>
                  <pic:blipFill>
                    <a:blip r:embed="rId9"/>
                    <a:stretch>
                      <a:fillRect/>
                    </a:stretch>
                  </pic:blipFill>
                  <pic:spPr>
                    <a:xfrm>
                      <a:off x="0" y="0"/>
                      <a:ext cx="5120640" cy="7258561"/>
                    </a:xfrm>
                    <a:prstGeom prst="rect"/>
                  </pic:spPr>
                </pic:pic>
              </a:graphicData>
            </a:graphic>
          </wp:inline>
        </w:drawing>
      </w:r>
    </w:p>
    <w:p>
      <w:pPr>
        <w:spacing w:before="40" w:after="160"/>
        <w:jc w:val="center"/>
      </w:pPr>
      <w:r>
        <w:rPr>
          <w:rFonts w:ascii="Times New Roman" w:hAnsi="Times New Roman" w:cs="Times New Roman"/>
          <w:b/>
          <w:i/>
          <w:sz w:val="22"/>
        </w:rPr>
        <w:t>Figure 3.1  Overall research process flowchart (problem identification through to optimisation framework)</w:t>
      </w:r>
    </w:p>
    <w:p>
      <w:pPr>
        <w:keepNext/>
        <w:spacing w:before="240" w:after="120"/>
        <w:jc w:val="left"/>
      </w:pPr>
      <w:r>
        <w:rPr>
          <w:rFonts w:ascii="Times New Roman" w:hAnsi="Times New Roman" w:cs="Times New Roman"/>
          <w:b/>
          <w:i w:val="0"/>
          <w:sz w:val="28"/>
        </w:rPr>
        <w:t>3.2  Research Design</w:t>
      </w:r>
    </w:p>
    <w:p>
      <w:pPr>
        <w:spacing w:line="360" w:lineRule="auto" w:after="120"/>
        <w:ind w:firstLine="425"/>
        <w:jc w:val="both"/>
      </w:pPr>
      <w:r>
        <w:rPr>
          <w:rFonts w:ascii="Times New Roman" w:hAnsi="Times New Roman" w:cs="Times New Roman"/>
          <w:b w:val="0"/>
          <w:i w:val="0"/>
          <w:sz w:val="24"/>
        </w:rPr>
        <w:t>The study follows a cross-sectional research design with a descriptive-cum-analytical orientation. A cross-sectional frame was selected because the purpose is to understand the prevailing state of the Malta distribution system across different stakeholder groups during a defined window of time, rather than tracking a single set of respondents over many years. Within this frame, a mixed-method approach has been adopted, where the qualitative inputs from field observations and stakeholder interactions feed directly into the quantitative instrument, and the quantitative ratings are later interpreted back through the qualitative context. This back-and-forth is what makes the design suitable for a layered supply chain that involves growers, local traders, commission agents, mandi-level wholesalers, retailers and transporters.</w:t>
      </w:r>
    </w:p>
    <w:p>
      <w:pPr>
        <w:spacing w:before="160" w:after="40"/>
        <w:jc w:val="center"/>
      </w:pPr>
      <w:r>
        <w:drawing>
          <wp:inline xmlns:a="http://schemas.openxmlformats.org/drawingml/2006/main" xmlns:pic="http://schemas.openxmlformats.org/drawingml/2006/picture">
            <wp:extent cx="5852160" cy="2906792"/>
            <wp:docPr id="2" name="Picture 2"/>
            <wp:cNvGraphicFramePr>
              <a:graphicFrameLocks noChangeAspect="1"/>
            </wp:cNvGraphicFramePr>
            <a:graphic>
              <a:graphicData uri="http://schemas.openxmlformats.org/drawingml/2006/picture">
                <pic:pic>
                  <pic:nvPicPr>
                    <pic:cNvPr id="0" name="fig_3_3_supply_chain.png"/>
                    <pic:cNvPicPr/>
                  </pic:nvPicPr>
                  <pic:blipFill>
                    <a:blip r:embed="rId10"/>
                    <a:stretch>
                      <a:fillRect/>
                    </a:stretch>
                  </pic:blipFill>
                  <pic:spPr>
                    <a:xfrm>
                      <a:off x="0" y="0"/>
                      <a:ext cx="5852160" cy="2906792"/>
                    </a:xfrm>
                    <a:prstGeom prst="rect"/>
                  </pic:spPr>
                </pic:pic>
              </a:graphicData>
            </a:graphic>
          </wp:inline>
        </w:drawing>
      </w:r>
    </w:p>
    <w:p>
      <w:pPr>
        <w:spacing w:before="40" w:after="160"/>
        <w:jc w:val="center"/>
      </w:pPr>
      <w:r>
        <w:rPr>
          <w:rFonts w:ascii="Times New Roman" w:hAnsi="Times New Roman" w:cs="Times New Roman"/>
          <w:b/>
          <w:i/>
          <w:sz w:val="22"/>
        </w:rPr>
        <w:t>Figure 3.2  Malta (Citrus sinensis) supply-chain stakeholder map showing the five strata in which data was collected</w:t>
      </w:r>
    </w:p>
    <w:p>
      <w:pPr>
        <w:keepNext/>
        <w:spacing w:before="160" w:after="80"/>
      </w:pPr>
      <w:r>
        <w:rPr>
          <w:rFonts w:ascii="Times New Roman" w:hAnsi="Times New Roman" w:cs="Times New Roman"/>
          <w:b/>
          <w:i/>
          <w:sz w:val="24"/>
        </w:rPr>
        <w:t>3.2.1  Nature of the study</w:t>
      </w:r>
    </w:p>
    <w:p>
      <w:pPr>
        <w:spacing w:line="360" w:lineRule="auto" w:after="120"/>
        <w:ind w:firstLine="425"/>
        <w:jc w:val="both"/>
      </w:pPr>
      <w:r>
        <w:rPr>
          <w:rFonts w:ascii="Times New Roman" w:hAnsi="Times New Roman" w:cs="Times New Roman"/>
          <w:b w:val="0"/>
          <w:i w:val="0"/>
          <w:sz w:val="24"/>
        </w:rPr>
        <w:t>The study is descriptive in the sense that it portrays the structure of the Malta supply chain as it currently functions in the Garhwal hills. It is analytical in the sense that it goes beyond description and ranks the factors according to their relative pull on cost, time and quality, using two Multi-Criteria Decision-Making (MCDM) techniques. Both primary and secondary data have been used. Primary data has been gathered through a structured questionnaire, expert consultations and personal field visits. Secondary data has been drawn from horticulture mission reports, district statistical handbooks of Uttarakhand, journal articles, books on agricultural marketing and supply chain management, APEDA bulletins and similar sources.</w:t>
      </w:r>
    </w:p>
    <w:p>
      <w:pPr>
        <w:keepNext/>
        <w:spacing w:before="240" w:after="120"/>
        <w:jc w:val="left"/>
      </w:pPr>
      <w:r>
        <w:rPr>
          <w:rFonts w:ascii="Times New Roman" w:hAnsi="Times New Roman" w:cs="Times New Roman"/>
          <w:b/>
          <w:i w:val="0"/>
          <w:sz w:val="28"/>
        </w:rPr>
        <w:t>3.3  Theoretical Foundation: The Resource-Based View (RBV)</w:t>
      </w:r>
    </w:p>
    <w:p>
      <w:pPr>
        <w:spacing w:line="360" w:lineRule="auto" w:after="120"/>
        <w:ind w:firstLine="425"/>
        <w:jc w:val="both"/>
      </w:pPr>
      <w:r>
        <w:rPr>
          <w:rFonts w:ascii="Times New Roman" w:hAnsi="Times New Roman" w:cs="Times New Roman"/>
          <w:b w:val="0"/>
          <w:i w:val="0"/>
          <w:sz w:val="24"/>
        </w:rPr>
        <w:t>The conceptual lens adopted for the present work is the Resource-Based View (RBV) of the firm, developed in its modern form by Wernerfelt (1984) and extended by Barney (1991). The RBV argues that a firm, or by extension a supply chain node, gains and sustains competitive advantage through resources and capabilities that are valuable, rare, inimitable and well organised (the VRIO frame). For a fragmented agri-supply chain like that of Malta in the Garhwal region, the RBV is particularly useful because the chain is not owned by a single firm. Instead, capabilities are distributed across growers, traders, mandi agents, retailers and transporters. Each link controls a small bundle of tangible and intangible resources, such as orchard land, packing material, cold chain access, market information, labour skill and informal network ties.</w:t>
      </w:r>
    </w:p>
    <w:p>
      <w:pPr>
        <w:spacing w:line="360" w:lineRule="auto" w:after="120"/>
        <w:ind w:firstLine="425"/>
        <w:jc w:val="both"/>
      </w:pPr>
      <w:r>
        <w:rPr>
          <w:rFonts w:ascii="Times New Roman" w:hAnsi="Times New Roman" w:cs="Times New Roman"/>
          <w:b w:val="0"/>
          <w:i w:val="0"/>
          <w:sz w:val="24"/>
        </w:rPr>
        <w:t>Viewing the chain through the RBV makes it possible to read the 144 initially identified factors and the 82 finally retained factors not as a loose list of operational issues but as proxies for the underlying resources and capabilities of the chain. Cost-related items signal financial and physical resources; time-related items signal coordination and process capabilities; and quality-related items signal knowledge, skill and infrastructural resources. The theoretical contribution of this study is therefore to map the operational constraints of a hill-based citrus chain on to the resource-and-capability vocabulary of the RBV, so that the eventual framework of optimisation does not stop at fixing surface-level problems but speaks directly to which resources of the chain need to be strengthened, shared or substituted.</w:t>
      </w:r>
    </w:p>
    <w:p>
      <w:pPr>
        <w:spacing w:before="160" w:after="40"/>
        <w:jc w:val="center"/>
      </w:pPr>
      <w:r>
        <w:drawing>
          <wp:inline xmlns:a="http://schemas.openxmlformats.org/drawingml/2006/main" xmlns:pic="http://schemas.openxmlformats.org/drawingml/2006/picture">
            <wp:extent cx="5852160" cy="4190805"/>
            <wp:docPr id="3" name="Picture 3"/>
            <wp:cNvGraphicFramePr>
              <a:graphicFrameLocks noChangeAspect="1"/>
            </wp:cNvGraphicFramePr>
            <a:graphic>
              <a:graphicData uri="http://schemas.openxmlformats.org/drawingml/2006/picture">
                <pic:pic>
                  <pic:nvPicPr>
                    <pic:cNvPr id="0" name="fig_3_4_rbv_framework.png"/>
                    <pic:cNvPicPr/>
                  </pic:nvPicPr>
                  <pic:blipFill>
                    <a:blip r:embed="rId11"/>
                    <a:stretch>
                      <a:fillRect/>
                    </a:stretch>
                  </pic:blipFill>
                  <pic:spPr>
                    <a:xfrm>
                      <a:off x="0" y="0"/>
                      <a:ext cx="5852160" cy="4190805"/>
                    </a:xfrm>
                    <a:prstGeom prst="rect"/>
                  </pic:spPr>
                </pic:pic>
              </a:graphicData>
            </a:graphic>
          </wp:inline>
        </w:drawing>
      </w:r>
    </w:p>
    <w:p>
      <w:r>
        <w:t>The VRIO frame, in the form used here, owes its current shape to Barney (1991, 1995, 1997) and to the parallel arguments of Peteraf (1993) on the cornerstones of competitive advantage. Barney's later restatement of the framework added the Organisation question to the original VRIN scheme, which pushed researchers to look beyond the existence of a resource and ask whether the firm is actually structured to exploit it (Barney and Hesterly, 2010). Newbert (2008) tested the framework empirically and showed that value and rareness, taken together, explain a meaningful share of the variation in firm performance, while the inimitability and organisation tests filter out the resources that merely produce parity. Knott (2009) cautioned, with some justification, that the framework should be read as a heuristic for sense-making rather than as a deterministic test, and the present study uses it in exactly that spirit.</w:t>
      </w:r>
    </w:p>
    <w:p>
      <w:pPr>
        <w:spacing w:before="40" w:after="160"/>
        <w:jc w:val="center"/>
      </w:pPr>
      <w:r>
        <w:rPr>
          <w:rFonts w:ascii="Times New Roman" w:hAnsi="Times New Roman" w:cs="Times New Roman"/>
          <w:b/>
          <w:i/>
          <w:sz w:val="22"/>
        </w:rPr>
        <w:t>Figure 3.3  Resource-Based View (RBV) framework mapped to the cost / time / quality dimensions of the Malta supply chain</w:t>
      </w:r>
    </w:p>
    <w:p>
      <w:pPr>
        <w:keepNext/>
        <w:spacing w:before="240" w:after="120"/>
        <w:jc w:val="left"/>
      </w:pPr>
      <w:r>
        <w:rPr>
          <w:rFonts w:ascii="Times New Roman" w:hAnsi="Times New Roman" w:cs="Times New Roman"/>
          <w:b/>
          <w:i w:val="0"/>
          <w:sz w:val="28"/>
        </w:rPr>
        <w:t>3.4  Phases of Data Collection</w:t>
      </w:r>
    </w:p>
    <w:p>
      <w:pPr>
        <w:spacing w:line="360" w:lineRule="auto" w:after="120"/>
        <w:ind w:firstLine="425"/>
        <w:jc w:val="both"/>
      </w:pPr>
      <w:r>
        <w:rPr>
          <w:rFonts w:ascii="Times New Roman" w:hAnsi="Times New Roman" w:cs="Times New Roman"/>
          <w:b w:val="0"/>
          <w:i w:val="0"/>
          <w:sz w:val="24"/>
        </w:rPr>
        <w:t>The fieldwork was organised in three phases between September 2024 and December 2025. The phasing was deliberate: it allowed the instrument to evolve with the field, rather than freezing the questionnaire at the very beginning. The three phases are described below.</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907"/>
            <w:vAlign w:val="center"/>
          </w:tcPr>
          <w:p>
            <w:pPr>
              <w:jc w:val="center"/>
            </w:pPr>
            <w:r/>
            <w:r>
              <w:rPr>
                <w:rFonts w:ascii="Times New Roman" w:hAnsi="Times New Roman" w:cs="Times New Roman"/>
                <w:b/>
                <w:i w:val="0"/>
                <w:sz w:val="22"/>
              </w:rPr>
              <w:t>Phase</w:t>
            </w:r>
          </w:p>
        </w:tc>
        <w:tc>
          <w:tcPr>
            <w:tcW w:type="dxa" w:w="1928"/>
            <w:vAlign w:val="center"/>
          </w:tcPr>
          <w:p>
            <w:pPr>
              <w:jc w:val="center"/>
            </w:pPr>
            <w:r/>
            <w:r>
              <w:rPr>
                <w:rFonts w:ascii="Times New Roman" w:hAnsi="Times New Roman" w:cs="Times New Roman"/>
                <w:b/>
                <w:i w:val="0"/>
                <w:sz w:val="22"/>
              </w:rPr>
              <w:t>Period</w:t>
            </w:r>
          </w:p>
        </w:tc>
        <w:tc>
          <w:tcPr>
            <w:tcW w:type="dxa" w:w="2041"/>
            <w:vAlign w:val="center"/>
          </w:tcPr>
          <w:p>
            <w:pPr>
              <w:jc w:val="center"/>
            </w:pPr>
            <w:r/>
            <w:r>
              <w:rPr>
                <w:rFonts w:ascii="Times New Roman" w:hAnsi="Times New Roman" w:cs="Times New Roman"/>
                <w:b/>
                <w:i w:val="0"/>
                <w:sz w:val="22"/>
              </w:rPr>
              <w:t>Title</w:t>
            </w:r>
          </w:p>
        </w:tc>
        <w:tc>
          <w:tcPr>
            <w:tcW w:type="dxa" w:w="4422"/>
            <w:vAlign w:val="center"/>
          </w:tcPr>
          <w:p>
            <w:pPr>
              <w:jc w:val="center"/>
            </w:pPr>
            <w:r/>
            <w:r>
              <w:rPr>
                <w:rFonts w:ascii="Times New Roman" w:hAnsi="Times New Roman" w:cs="Times New Roman"/>
                <w:b/>
                <w:i w:val="0"/>
                <w:sz w:val="22"/>
              </w:rPr>
              <w:t>Key Activities</w:t>
            </w:r>
          </w:p>
        </w:tc>
      </w:tr>
      <w:tr>
        <w:tc>
          <w:tcPr>
            <w:tcW w:type="dxa" w:w="907"/>
            <w:vAlign w:val="center"/>
          </w:tcPr>
          <w:p>
            <w:pPr>
              <w:jc w:val="left"/>
            </w:pPr>
            <w:r/>
            <w:r>
              <w:rPr>
                <w:rFonts w:ascii="Times New Roman" w:hAnsi="Times New Roman" w:cs="Times New Roman"/>
                <w:b w:val="0"/>
                <w:i w:val="0"/>
                <w:sz w:val="22"/>
              </w:rPr>
              <w:t>Phase I</w:t>
            </w:r>
          </w:p>
        </w:tc>
        <w:tc>
          <w:tcPr>
            <w:tcW w:type="dxa" w:w="1928"/>
            <w:vAlign w:val="center"/>
          </w:tcPr>
          <w:p>
            <w:pPr>
              <w:jc w:val="left"/>
            </w:pPr>
            <w:r/>
            <w:r>
              <w:rPr>
                <w:rFonts w:ascii="Times New Roman" w:hAnsi="Times New Roman" w:cs="Times New Roman"/>
                <w:b w:val="0"/>
                <w:i w:val="0"/>
                <w:sz w:val="22"/>
              </w:rPr>
              <w:t>Sept 2024 - Feb 2025</w:t>
            </w:r>
          </w:p>
        </w:tc>
        <w:tc>
          <w:tcPr>
            <w:tcW w:type="dxa" w:w="2041"/>
            <w:vAlign w:val="center"/>
          </w:tcPr>
          <w:p>
            <w:pPr>
              <w:jc w:val="left"/>
            </w:pPr>
            <w:r/>
            <w:r>
              <w:rPr>
                <w:rFonts w:ascii="Times New Roman" w:hAnsi="Times New Roman" w:cs="Times New Roman"/>
                <w:b w:val="0"/>
                <w:i w:val="0"/>
                <w:sz w:val="22"/>
              </w:rPr>
              <w:t>Exploratory &amp; Pilot Phase</w:t>
            </w:r>
          </w:p>
        </w:tc>
        <w:tc>
          <w:tcPr>
            <w:tcW w:type="dxa" w:w="4422"/>
            <w:vAlign w:val="center"/>
          </w:tcPr>
          <w:p>
            <w:pPr>
              <w:jc w:val="left"/>
            </w:pPr>
            <w:r/>
            <w:r>
              <w:rPr>
                <w:rFonts w:ascii="Times New Roman" w:hAnsi="Times New Roman" w:cs="Times New Roman"/>
                <w:b w:val="0"/>
                <w:i w:val="0"/>
                <w:sz w:val="22"/>
              </w:rPr>
              <w:t>Literature scan, expert interactions (15 experts), pilot survey on 60 respondents, preliminary listing of 144 factors, pre-test of questionnaire wording.</w:t>
            </w:r>
          </w:p>
        </w:tc>
      </w:tr>
      <w:tr>
        <w:tc>
          <w:tcPr>
            <w:tcW w:type="dxa" w:w="907"/>
            <w:vAlign w:val="center"/>
          </w:tcPr>
          <w:p>
            <w:pPr>
              <w:jc w:val="left"/>
            </w:pPr>
            <w:r/>
            <w:r>
              <w:rPr>
                <w:rFonts w:ascii="Times New Roman" w:hAnsi="Times New Roman" w:cs="Times New Roman"/>
                <w:b w:val="0"/>
                <w:i w:val="0"/>
                <w:sz w:val="22"/>
              </w:rPr>
              <w:t>Phase II</w:t>
            </w:r>
          </w:p>
        </w:tc>
        <w:tc>
          <w:tcPr>
            <w:tcW w:type="dxa" w:w="1928"/>
            <w:vAlign w:val="center"/>
          </w:tcPr>
          <w:p>
            <w:pPr>
              <w:jc w:val="left"/>
            </w:pPr>
            <w:r/>
            <w:r>
              <w:rPr>
                <w:rFonts w:ascii="Times New Roman" w:hAnsi="Times New Roman" w:cs="Times New Roman"/>
                <w:b w:val="0"/>
                <w:i w:val="0"/>
                <w:sz w:val="22"/>
              </w:rPr>
              <w:t>Mar 2025 - Aug 2025</w:t>
            </w:r>
          </w:p>
        </w:tc>
        <w:tc>
          <w:tcPr>
            <w:tcW w:type="dxa" w:w="2041"/>
            <w:vAlign w:val="center"/>
          </w:tcPr>
          <w:p>
            <w:pPr>
              <w:jc w:val="left"/>
            </w:pPr>
            <w:r/>
            <w:r>
              <w:rPr>
                <w:rFonts w:ascii="Times New Roman" w:hAnsi="Times New Roman" w:cs="Times New Roman"/>
                <w:b w:val="0"/>
                <w:i w:val="0"/>
                <w:sz w:val="22"/>
              </w:rPr>
              <w:t>Main Field Survey</w:t>
            </w:r>
          </w:p>
        </w:tc>
        <w:tc>
          <w:tcPr>
            <w:tcW w:type="dxa" w:w="4422"/>
            <w:vAlign w:val="center"/>
          </w:tcPr>
          <w:p>
            <w:pPr>
              <w:jc w:val="left"/>
            </w:pPr>
            <w:r/>
            <w:r>
              <w:rPr>
                <w:rFonts w:ascii="Times New Roman" w:hAnsi="Times New Roman" w:cs="Times New Roman"/>
                <w:b w:val="0"/>
                <w:i w:val="0"/>
                <w:sz w:val="22"/>
              </w:rPr>
              <w:t>Stratified random sampling across five Garhwal districts, full-scale data collection from farmers, local traders, mandi agents, wholesalers, retailers and transporters.</w:t>
            </w:r>
          </w:p>
        </w:tc>
      </w:tr>
      <w:tr>
        <w:tc>
          <w:tcPr>
            <w:tcW w:type="dxa" w:w="907"/>
            <w:vAlign w:val="center"/>
          </w:tcPr>
          <w:p>
            <w:pPr>
              <w:jc w:val="left"/>
            </w:pPr>
            <w:r/>
            <w:r>
              <w:rPr>
                <w:rFonts w:ascii="Times New Roman" w:hAnsi="Times New Roman" w:cs="Times New Roman"/>
                <w:b w:val="0"/>
                <w:i w:val="0"/>
                <w:sz w:val="22"/>
              </w:rPr>
              <w:t>Phase III</w:t>
            </w:r>
          </w:p>
        </w:tc>
        <w:tc>
          <w:tcPr>
            <w:tcW w:type="dxa" w:w="1928"/>
            <w:vAlign w:val="center"/>
          </w:tcPr>
          <w:p>
            <w:pPr>
              <w:jc w:val="left"/>
            </w:pPr>
            <w:r/>
            <w:r>
              <w:rPr>
                <w:rFonts w:ascii="Times New Roman" w:hAnsi="Times New Roman" w:cs="Times New Roman"/>
                <w:b w:val="0"/>
                <w:i w:val="0"/>
                <w:sz w:val="22"/>
              </w:rPr>
              <w:t>Sept 2025 - Dec 2025</w:t>
            </w:r>
          </w:p>
        </w:tc>
        <w:tc>
          <w:tcPr>
            <w:tcW w:type="dxa" w:w="2041"/>
            <w:vAlign w:val="center"/>
          </w:tcPr>
          <w:p>
            <w:pPr>
              <w:jc w:val="left"/>
            </w:pPr>
            <w:r/>
            <w:r>
              <w:rPr>
                <w:rFonts w:ascii="Times New Roman" w:hAnsi="Times New Roman" w:cs="Times New Roman"/>
                <w:b w:val="0"/>
                <w:i w:val="0"/>
                <w:sz w:val="22"/>
              </w:rPr>
              <w:t>Validation &amp; Analytical Phase</w:t>
            </w:r>
          </w:p>
        </w:tc>
        <w:tc>
          <w:tcPr>
            <w:tcW w:type="dxa" w:w="4422"/>
            <w:vAlign w:val="center"/>
          </w:tcPr>
          <w:p>
            <w:pPr>
              <w:jc w:val="left"/>
            </w:pPr>
            <w:r/>
            <w:r>
              <w:rPr>
                <w:rFonts w:ascii="Times New Roman" w:hAnsi="Times New Roman" w:cs="Times New Roman"/>
                <w:b w:val="0"/>
                <w:i w:val="0"/>
                <w:sz w:val="22"/>
              </w:rPr>
              <w:t>Reliability testing (Cronbach's alpha), consistency check by experts, refinement from 144 to 82 factors, application of Fuzzy AHP and ELECTRE, follow-up validation interviews.</w:t>
            </w:r>
          </w:p>
        </w:tc>
      </w:tr>
    </w:tbl>
    <w:p>
      <w:pPr>
        <w:spacing w:before="40" w:after="160"/>
        <w:jc w:val="center"/>
      </w:pPr>
      <w:r>
        <w:rPr>
          <w:rFonts w:ascii="Times New Roman" w:hAnsi="Times New Roman" w:cs="Times New Roman"/>
          <w:b/>
          <w:i/>
          <w:sz w:val="22"/>
        </w:rPr>
        <w:t>Table 3.1  Three-phase plan of data collection (Sept 2024 - Dec 2025)</w:t>
      </w:r>
    </w:p>
    <w:p>
      <w:pPr>
        <w:spacing w:before="160" w:after="40"/>
        <w:jc w:val="center"/>
      </w:pPr>
      <w:r>
        <w:drawing>
          <wp:inline xmlns:a="http://schemas.openxmlformats.org/drawingml/2006/main" xmlns:pic="http://schemas.openxmlformats.org/drawingml/2006/picture">
            <wp:extent cx="5852160" cy="2546704"/>
            <wp:docPr id="4" name="Picture 4"/>
            <wp:cNvGraphicFramePr>
              <a:graphicFrameLocks noChangeAspect="1"/>
            </wp:cNvGraphicFramePr>
            <a:graphic>
              <a:graphicData uri="http://schemas.openxmlformats.org/drawingml/2006/picture">
                <pic:pic>
                  <pic:nvPicPr>
                    <pic:cNvPr id="0" name="fig_3_2_phases_timeline.png"/>
                    <pic:cNvPicPr/>
                  </pic:nvPicPr>
                  <pic:blipFill>
                    <a:blip r:embed="rId12"/>
                    <a:stretch>
                      <a:fillRect/>
                    </a:stretch>
                  </pic:blipFill>
                  <pic:spPr>
                    <a:xfrm>
                      <a:off x="0" y="0"/>
                      <a:ext cx="5852160" cy="2546704"/>
                    </a:xfrm>
                    <a:prstGeom prst="rect"/>
                  </pic:spPr>
                </pic:pic>
              </a:graphicData>
            </a:graphic>
          </wp:inline>
        </w:drawing>
      </w:r>
    </w:p>
    <w:p>
      <w:pPr>
        <w:spacing w:before="40" w:after="160"/>
        <w:jc w:val="center"/>
      </w:pPr>
      <w:r>
        <w:rPr>
          <w:rFonts w:ascii="Times New Roman" w:hAnsi="Times New Roman" w:cs="Times New Roman"/>
          <w:b/>
          <w:i/>
          <w:sz w:val="22"/>
        </w:rPr>
        <w:t>Figure 3.4  Three-phase data-collection timeline (September 2024 – December 2025)</w:t>
      </w:r>
    </w:p>
    <w:p>
      <w:pPr>
        <w:spacing w:line="360" w:lineRule="auto" w:after="120"/>
        <w:ind w:firstLine="425"/>
        <w:jc w:val="both"/>
      </w:pPr>
      <w:r>
        <w:rPr>
          <w:rFonts w:ascii="Times New Roman" w:hAnsi="Times New Roman" w:cs="Times New Roman"/>
          <w:b w:val="0"/>
          <w:i w:val="0"/>
          <w:sz w:val="24"/>
        </w:rPr>
        <w:t>Spreading the work across three phases also helped in handling the strong seasonality of Malta. The fruit broadly hits the mandis between November and February, so Phase I captured the run-up to the peak season, Phase II covered both an active harvest and a post-harvest review, and Phase III allowed the researcher to revisit specific respondents for clarifications after a complete production cycle had passed.</w:t>
      </w:r>
    </w:p>
    <w:p>
      <w:pPr>
        <w:keepNext/>
        <w:spacing w:before="240" w:after="120"/>
        <w:jc w:val="left"/>
      </w:pPr>
      <w:r>
        <w:rPr>
          <w:rFonts w:ascii="Times New Roman" w:hAnsi="Times New Roman" w:cs="Times New Roman"/>
          <w:b/>
          <w:i w:val="0"/>
          <w:sz w:val="28"/>
        </w:rPr>
        <w:t>3.5  Identification and Refinement of Factors</w:t>
      </w:r>
    </w:p>
    <w:p>
      <w:pPr>
        <w:spacing w:line="360" w:lineRule="auto" w:after="120"/>
        <w:ind w:firstLine="425"/>
        <w:jc w:val="both"/>
      </w:pPr>
      <w:r>
        <w:rPr>
          <w:rFonts w:ascii="Times New Roman" w:hAnsi="Times New Roman" w:cs="Times New Roman"/>
          <w:b w:val="0"/>
          <w:i w:val="0"/>
          <w:sz w:val="24"/>
        </w:rPr>
        <w:t>A central methodological task of the study was to arrive at a defensible list of factors that genuinely affect distribution channel efficiency for Malta. The exercise moved from an open and somewhat redundant list of 144 factors to a compact and statistically defensible list of 82 factors. The process is summarised below.</w:t>
      </w:r>
    </w:p>
    <w:p>
      <w:pPr>
        <w:keepNext/>
        <w:spacing w:before="160" w:after="80"/>
      </w:pPr>
      <w:r>
        <w:rPr>
          <w:rFonts w:ascii="Times New Roman" w:hAnsi="Times New Roman" w:cs="Times New Roman"/>
          <w:b/>
          <w:i/>
          <w:sz w:val="24"/>
        </w:rPr>
        <w:t>3.5.1  Sources used for the initial pool of 144 factors</w:t>
      </w:r>
    </w:p>
    <w:p>
      <w:pPr>
        <w:pStyle w:val="ListBullet"/>
        <w:spacing w:after="40" w:line="276" w:lineRule="auto"/>
        <w:ind w:left="567"/>
      </w:pPr>
      <w:r>
        <w:rPr>
          <w:rFonts w:ascii="Times New Roman" w:hAnsi="Times New Roman" w:cs="Times New Roman"/>
          <w:b w:val="0"/>
          <w:i w:val="0"/>
          <w:sz w:val="24"/>
        </w:rPr>
        <w:t>Extensive review of literature on horticultural supply chains, citrus marketing in India, hill agriculture, and post-harvest losses (publications from 2005 onwards, including ICAR, NIAM and APEDA reports).</w:t>
      </w:r>
    </w:p>
    <w:p>
      <w:pPr>
        <w:pStyle w:val="ListBullet"/>
        <w:spacing w:after="40" w:line="276" w:lineRule="auto"/>
        <w:ind w:left="567"/>
      </w:pPr>
      <w:r>
        <w:rPr>
          <w:rFonts w:ascii="Times New Roman" w:hAnsi="Times New Roman" w:cs="Times New Roman"/>
          <w:b w:val="0"/>
          <w:i w:val="0"/>
          <w:sz w:val="24"/>
        </w:rPr>
        <w:t>Expert consultations with fifteen experts comprising horticulture scientists, agricultural marketing faculty, Mandi Samiti officials, progressive Malta growers, transporters and wholesale commission agents from Pauri, Tehri, Chamoli, Rudraprayag and Uttarkashi.</w:t>
      </w:r>
    </w:p>
    <w:p>
      <w:pPr>
        <w:pStyle w:val="ListBullet"/>
        <w:spacing w:after="40" w:line="276" w:lineRule="auto"/>
        <w:ind w:left="567"/>
      </w:pPr>
      <w:r>
        <w:rPr>
          <w:rFonts w:ascii="Times New Roman" w:hAnsi="Times New Roman" w:cs="Times New Roman"/>
          <w:b w:val="0"/>
          <w:i w:val="0"/>
          <w:sz w:val="24"/>
        </w:rPr>
        <w:t>Pilot study findings from a preliminary survey of 60 respondents covering all five stakeholder categories.</w:t>
      </w:r>
    </w:p>
    <w:p>
      <w:pPr>
        <w:pStyle w:val="ListBullet"/>
        <w:spacing w:after="40" w:line="276" w:lineRule="auto"/>
        <w:ind w:left="567"/>
      </w:pPr>
      <w:r>
        <w:rPr>
          <w:rFonts w:ascii="Times New Roman" w:hAnsi="Times New Roman" w:cs="Times New Roman"/>
          <w:b w:val="0"/>
          <w:i w:val="0"/>
          <w:sz w:val="24"/>
        </w:rPr>
        <w:t>Stakeholder discussions and group interactions in farmer collectives and mandi premises during peak Malta arrival weeks.</w:t>
      </w:r>
    </w:p>
    <w:p>
      <w:pPr>
        <w:pStyle w:val="ListBullet"/>
        <w:spacing w:after="40" w:line="276" w:lineRule="auto"/>
        <w:ind w:left="567"/>
      </w:pPr>
      <w:r>
        <w:rPr>
          <w:rFonts w:ascii="Times New Roman" w:hAnsi="Times New Roman" w:cs="Times New Roman"/>
          <w:b w:val="0"/>
          <w:i w:val="0"/>
          <w:sz w:val="24"/>
        </w:rPr>
        <w:t>Direct field observations and walk-along observations from orchard to retail outlet, recorded in a structured field diary.</w:t>
      </w:r>
    </w:p>
    <w:p>
      <w:pPr>
        <w:spacing w:before="160" w:after="40"/>
        <w:jc w:val="center"/>
      </w:pPr>
      <w:r>
        <w:drawing>
          <wp:inline xmlns:a="http://schemas.openxmlformats.org/drawingml/2006/main" xmlns:pic="http://schemas.openxmlformats.org/drawingml/2006/picture">
            <wp:extent cx="5852160" cy="3394696"/>
            <wp:docPr id="5" name="Picture 5"/>
            <wp:cNvGraphicFramePr>
              <a:graphicFrameLocks noChangeAspect="1"/>
            </wp:cNvGraphicFramePr>
            <a:graphic>
              <a:graphicData uri="http://schemas.openxmlformats.org/drawingml/2006/picture">
                <pic:pic>
                  <pic:nvPicPr>
                    <pic:cNvPr id="0" name="fig_3_5_factor_sources.png"/>
                    <pic:cNvPicPr/>
                  </pic:nvPicPr>
                  <pic:blipFill>
                    <a:blip r:embed="rId13"/>
                    <a:stretch>
                      <a:fillRect/>
                    </a:stretch>
                  </pic:blipFill>
                  <pic:spPr>
                    <a:xfrm>
                      <a:off x="0" y="0"/>
                      <a:ext cx="5852160" cy="3394696"/>
                    </a:xfrm>
                    <a:prstGeom prst="rect"/>
                  </pic:spPr>
                </pic:pic>
              </a:graphicData>
            </a:graphic>
          </wp:inline>
        </w:drawing>
      </w:r>
    </w:p>
    <w:p>
      <w:pPr>
        <w:spacing w:before="40" w:after="160"/>
        <w:jc w:val="center"/>
      </w:pPr>
      <w:r>
        <w:rPr>
          <w:rFonts w:ascii="Times New Roman" w:hAnsi="Times New Roman" w:cs="Times New Roman"/>
          <w:b/>
          <w:i/>
          <w:sz w:val="22"/>
        </w:rPr>
        <w:t>Figure 3.5  Five sources converging into the initial pool of 144 factors</w:t>
      </w:r>
    </w:p>
    <w:p>
      <w:pPr>
        <w:keepNext/>
        <w:spacing w:before="160" w:after="80"/>
      </w:pPr>
      <w:r>
        <w:rPr>
          <w:rFonts w:ascii="Times New Roman" w:hAnsi="Times New Roman" w:cs="Times New Roman"/>
          <w:b/>
          <w:i/>
          <w:sz w:val="24"/>
        </w:rPr>
        <w:t>3.5.2  Categorisation of the initial 144 factors</w:t>
      </w:r>
    </w:p>
    <w:p>
      <w:pPr>
        <w:spacing w:line="360" w:lineRule="auto" w:after="120"/>
        <w:ind w:firstLine="425"/>
        <w:jc w:val="both"/>
      </w:pPr>
      <w:r>
        <w:rPr>
          <w:rFonts w:ascii="Times New Roman" w:hAnsi="Times New Roman" w:cs="Times New Roman"/>
          <w:b w:val="0"/>
          <w:i w:val="0"/>
          <w:sz w:val="24"/>
        </w:rPr>
        <w:t>The 144 factors were first organised on two intersecting axes: (a) the stage of the supply chain (Farm, Local Trader/Commission Agent, Mandi/Wholesale, Retail, Transportation) and (b) the dimension of inefficiency (Cost, Time, Quality). The stage-wise distribution of the initial pool is given in Table 3.2 and visualised in Figure 3.6.</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94"/>
            <w:vAlign w:val="center"/>
          </w:tcPr>
          <w:p>
            <w:pPr>
              <w:jc w:val="center"/>
            </w:pPr>
            <w:r/>
            <w:r>
              <w:rPr>
                <w:rFonts w:ascii="Times New Roman" w:hAnsi="Times New Roman" w:cs="Times New Roman"/>
                <w:b/>
                <w:i w:val="0"/>
                <w:sz w:val="22"/>
              </w:rPr>
              <w:t>Supply-chain stage</w:t>
            </w:r>
          </w:p>
        </w:tc>
        <w:tc>
          <w:tcPr>
            <w:tcW w:type="dxa" w:w="1134"/>
            <w:vAlign w:val="center"/>
          </w:tcPr>
          <w:p>
            <w:pPr>
              <w:jc w:val="center"/>
            </w:pPr>
            <w:r/>
            <w:r>
              <w:rPr>
                <w:rFonts w:ascii="Times New Roman" w:hAnsi="Times New Roman" w:cs="Times New Roman"/>
                <w:b/>
                <w:i w:val="0"/>
                <w:sz w:val="22"/>
              </w:rPr>
              <w:t>Cost (initial)</w:t>
            </w:r>
          </w:p>
        </w:tc>
        <w:tc>
          <w:tcPr>
            <w:tcW w:type="dxa" w:w="1134"/>
            <w:vAlign w:val="center"/>
          </w:tcPr>
          <w:p>
            <w:pPr>
              <w:jc w:val="center"/>
            </w:pPr>
            <w:r/>
            <w:r>
              <w:rPr>
                <w:rFonts w:ascii="Times New Roman" w:hAnsi="Times New Roman" w:cs="Times New Roman"/>
                <w:b/>
                <w:i w:val="0"/>
                <w:sz w:val="22"/>
              </w:rPr>
              <w:t>Time (initial)</w:t>
            </w:r>
          </w:p>
        </w:tc>
        <w:tc>
          <w:tcPr>
            <w:tcW w:type="dxa" w:w="1134"/>
            <w:vAlign w:val="center"/>
          </w:tcPr>
          <w:p>
            <w:pPr>
              <w:jc w:val="center"/>
            </w:pPr>
            <w:r/>
            <w:r>
              <w:rPr>
                <w:rFonts w:ascii="Times New Roman" w:hAnsi="Times New Roman" w:cs="Times New Roman"/>
                <w:b/>
                <w:i w:val="0"/>
                <w:sz w:val="22"/>
              </w:rPr>
              <w:t>Quality (initial)</w:t>
            </w:r>
          </w:p>
        </w:tc>
        <w:tc>
          <w:tcPr>
            <w:tcW w:type="dxa" w:w="1134"/>
            <w:vAlign w:val="center"/>
          </w:tcPr>
          <w:p>
            <w:pPr>
              <w:jc w:val="center"/>
            </w:pPr>
            <w:r/>
            <w:r>
              <w:rPr>
                <w:rFonts w:ascii="Times New Roman" w:hAnsi="Times New Roman" w:cs="Times New Roman"/>
                <w:b/>
                <w:i w:val="0"/>
                <w:sz w:val="22"/>
              </w:rPr>
              <w:t>Initial Total</w:t>
            </w:r>
          </w:p>
        </w:tc>
        <w:tc>
          <w:tcPr>
            <w:tcW w:type="dxa" w:w="1134"/>
            <w:vAlign w:val="center"/>
          </w:tcPr>
          <w:p>
            <w:pPr>
              <w:jc w:val="center"/>
            </w:pPr>
            <w:r/>
            <w:r>
              <w:rPr>
                <w:rFonts w:ascii="Times New Roman" w:hAnsi="Times New Roman" w:cs="Times New Roman"/>
                <w:b/>
                <w:i w:val="0"/>
                <w:sz w:val="22"/>
              </w:rPr>
              <w:t>Retained</w:t>
            </w:r>
          </w:p>
        </w:tc>
        <w:tc>
          <w:tcPr>
            <w:tcW w:type="dxa" w:w="1134"/>
            <w:vAlign w:val="center"/>
          </w:tcPr>
          <w:p>
            <w:pPr>
              <w:jc w:val="center"/>
            </w:pPr>
            <w:r/>
            <w:r>
              <w:rPr>
                <w:rFonts w:ascii="Times New Roman" w:hAnsi="Times New Roman" w:cs="Times New Roman"/>
                <w:b/>
                <w:i w:val="0"/>
                <w:sz w:val="22"/>
              </w:rPr>
              <w:t>Eliminated</w:t>
            </w:r>
          </w:p>
        </w:tc>
      </w:tr>
      <w:tr>
        <w:tc>
          <w:tcPr>
            <w:tcW w:type="dxa" w:w="2494"/>
            <w:vAlign w:val="center"/>
          </w:tcPr>
          <w:p>
            <w:pPr>
              <w:jc w:val="left"/>
            </w:pPr>
            <w:r/>
            <w:r>
              <w:rPr>
                <w:rFonts w:ascii="Times New Roman" w:hAnsi="Times New Roman" w:cs="Times New Roman"/>
                <w:b w:val="0"/>
                <w:i w:val="0"/>
                <w:sz w:val="22"/>
              </w:rPr>
              <w:t>Farm / Grower stage</w:t>
            </w:r>
          </w:p>
        </w:tc>
        <w:tc>
          <w:tcPr>
            <w:tcW w:type="dxa" w:w="1134"/>
            <w:vAlign w:val="center"/>
          </w:tcPr>
          <w:p>
            <w:pPr>
              <w:jc w:val="left"/>
            </w:pPr>
            <w:r/>
            <w:r>
              <w:rPr>
                <w:rFonts w:ascii="Times New Roman" w:hAnsi="Times New Roman" w:cs="Times New Roman"/>
                <w:b w:val="0"/>
                <w:i w:val="0"/>
                <w:sz w:val="22"/>
              </w:rPr>
              <w:t>12</w:t>
            </w:r>
          </w:p>
        </w:tc>
        <w:tc>
          <w:tcPr>
            <w:tcW w:type="dxa" w:w="1134"/>
            <w:vAlign w:val="center"/>
          </w:tcPr>
          <w:p>
            <w:pPr>
              <w:jc w:val="left"/>
            </w:pPr>
            <w:r/>
            <w:r>
              <w:rPr>
                <w:rFonts w:ascii="Times New Roman" w:hAnsi="Times New Roman" w:cs="Times New Roman"/>
                <w:b w:val="0"/>
                <w:i w:val="0"/>
                <w:sz w:val="22"/>
              </w:rPr>
              <w:t>10</w:t>
            </w:r>
          </w:p>
        </w:tc>
        <w:tc>
          <w:tcPr>
            <w:tcW w:type="dxa" w:w="1134"/>
            <w:vAlign w:val="center"/>
          </w:tcPr>
          <w:p>
            <w:pPr>
              <w:jc w:val="left"/>
            </w:pPr>
            <w:r/>
            <w:r>
              <w:rPr>
                <w:rFonts w:ascii="Times New Roman" w:hAnsi="Times New Roman" w:cs="Times New Roman"/>
                <w:b w:val="0"/>
                <w:i w:val="0"/>
                <w:sz w:val="22"/>
              </w:rPr>
              <w:t>10</w:t>
            </w:r>
          </w:p>
        </w:tc>
        <w:tc>
          <w:tcPr>
            <w:tcW w:type="dxa" w:w="1134"/>
            <w:vAlign w:val="center"/>
          </w:tcPr>
          <w:p>
            <w:pPr>
              <w:jc w:val="left"/>
            </w:pPr>
            <w:r/>
            <w:r>
              <w:rPr>
                <w:rFonts w:ascii="Times New Roman" w:hAnsi="Times New Roman" w:cs="Times New Roman"/>
                <w:b w:val="0"/>
                <w:i w:val="0"/>
                <w:sz w:val="22"/>
              </w:rPr>
              <w:t>32</w:t>
            </w:r>
          </w:p>
        </w:tc>
        <w:tc>
          <w:tcPr>
            <w:tcW w:type="dxa" w:w="1134"/>
            <w:vAlign w:val="center"/>
          </w:tcPr>
          <w:p>
            <w:pPr>
              <w:jc w:val="left"/>
            </w:pPr>
            <w:r/>
            <w:r>
              <w:rPr>
                <w:rFonts w:ascii="Times New Roman" w:hAnsi="Times New Roman" w:cs="Times New Roman"/>
                <w:b w:val="0"/>
                <w:i w:val="0"/>
                <w:sz w:val="22"/>
              </w:rPr>
              <w:t>19</w:t>
            </w:r>
          </w:p>
        </w:tc>
        <w:tc>
          <w:tcPr>
            <w:tcW w:type="dxa" w:w="1134"/>
            <w:vAlign w:val="center"/>
          </w:tcPr>
          <w:p>
            <w:pPr>
              <w:jc w:val="left"/>
            </w:pPr>
            <w:r/>
            <w:r>
              <w:rPr>
                <w:rFonts w:ascii="Times New Roman" w:hAnsi="Times New Roman" w:cs="Times New Roman"/>
                <w:b w:val="0"/>
                <w:i w:val="0"/>
                <w:sz w:val="22"/>
              </w:rPr>
              <w:t>13</w:t>
            </w:r>
          </w:p>
        </w:tc>
      </w:tr>
      <w:tr>
        <w:tc>
          <w:tcPr>
            <w:tcW w:type="dxa" w:w="2494"/>
            <w:vAlign w:val="center"/>
          </w:tcPr>
          <w:p>
            <w:pPr>
              <w:jc w:val="left"/>
            </w:pPr>
            <w:r/>
            <w:r>
              <w:rPr>
                <w:rFonts w:ascii="Times New Roman" w:hAnsi="Times New Roman" w:cs="Times New Roman"/>
                <w:b w:val="0"/>
                <w:i w:val="0"/>
                <w:sz w:val="22"/>
              </w:rPr>
              <w:t>Local Trader / Commission Agent</w:t>
            </w:r>
          </w:p>
        </w:tc>
        <w:tc>
          <w:tcPr>
            <w:tcW w:type="dxa" w:w="1134"/>
            <w:vAlign w:val="center"/>
          </w:tcPr>
          <w:p>
            <w:pPr>
              <w:jc w:val="left"/>
            </w:pPr>
            <w:r/>
            <w:r>
              <w:rPr>
                <w:rFonts w:ascii="Times New Roman" w:hAnsi="Times New Roman" w:cs="Times New Roman"/>
                <w:b w:val="0"/>
                <w:i w:val="0"/>
                <w:sz w:val="22"/>
              </w:rPr>
              <w:t>11</w:t>
            </w:r>
          </w:p>
        </w:tc>
        <w:tc>
          <w:tcPr>
            <w:tcW w:type="dxa" w:w="1134"/>
            <w:vAlign w:val="center"/>
          </w:tcPr>
          <w:p>
            <w:pPr>
              <w:jc w:val="left"/>
            </w:pPr>
            <w:r/>
            <w:r>
              <w:rPr>
                <w:rFonts w:ascii="Times New Roman" w:hAnsi="Times New Roman" w:cs="Times New Roman"/>
                <w:b w:val="0"/>
                <w:i w:val="0"/>
                <w:sz w:val="22"/>
              </w:rPr>
              <w:t>9</w:t>
            </w:r>
          </w:p>
        </w:tc>
        <w:tc>
          <w:tcPr>
            <w:tcW w:type="dxa" w:w="1134"/>
            <w:vAlign w:val="center"/>
          </w:tcPr>
          <w:p>
            <w:pPr>
              <w:jc w:val="left"/>
            </w:pPr>
            <w:r/>
            <w:r>
              <w:rPr>
                <w:rFonts w:ascii="Times New Roman" w:hAnsi="Times New Roman" w:cs="Times New Roman"/>
                <w:b w:val="0"/>
                <w:i w:val="0"/>
                <w:sz w:val="22"/>
              </w:rPr>
              <w:t>9</w:t>
            </w:r>
          </w:p>
        </w:tc>
        <w:tc>
          <w:tcPr>
            <w:tcW w:type="dxa" w:w="1134"/>
            <w:vAlign w:val="center"/>
          </w:tcPr>
          <w:p>
            <w:pPr>
              <w:jc w:val="left"/>
            </w:pPr>
            <w:r/>
            <w:r>
              <w:rPr>
                <w:rFonts w:ascii="Times New Roman" w:hAnsi="Times New Roman" w:cs="Times New Roman"/>
                <w:b w:val="0"/>
                <w:i w:val="0"/>
                <w:sz w:val="22"/>
              </w:rPr>
              <w:t>29</w:t>
            </w:r>
          </w:p>
        </w:tc>
        <w:tc>
          <w:tcPr>
            <w:tcW w:type="dxa" w:w="1134"/>
            <w:vAlign w:val="center"/>
          </w:tcPr>
          <w:p>
            <w:pPr>
              <w:jc w:val="left"/>
            </w:pPr>
            <w:r/>
            <w:r>
              <w:rPr>
                <w:rFonts w:ascii="Times New Roman" w:hAnsi="Times New Roman" w:cs="Times New Roman"/>
                <w:b w:val="0"/>
                <w:i w:val="0"/>
                <w:sz w:val="22"/>
              </w:rPr>
              <w:t>16</w:t>
            </w:r>
          </w:p>
        </w:tc>
        <w:tc>
          <w:tcPr>
            <w:tcW w:type="dxa" w:w="1134"/>
            <w:vAlign w:val="center"/>
          </w:tcPr>
          <w:p>
            <w:pPr>
              <w:jc w:val="left"/>
            </w:pPr>
            <w:r/>
            <w:r>
              <w:rPr>
                <w:rFonts w:ascii="Times New Roman" w:hAnsi="Times New Roman" w:cs="Times New Roman"/>
                <w:b w:val="0"/>
                <w:i w:val="0"/>
                <w:sz w:val="22"/>
              </w:rPr>
              <w:t>13</w:t>
            </w:r>
          </w:p>
        </w:tc>
      </w:tr>
      <w:tr>
        <w:tc>
          <w:tcPr>
            <w:tcW w:type="dxa" w:w="2494"/>
            <w:vAlign w:val="center"/>
          </w:tcPr>
          <w:p>
            <w:pPr>
              <w:jc w:val="left"/>
            </w:pPr>
            <w:r/>
            <w:r>
              <w:rPr>
                <w:rFonts w:ascii="Times New Roman" w:hAnsi="Times New Roman" w:cs="Times New Roman"/>
                <w:b w:val="0"/>
                <w:i w:val="0"/>
                <w:sz w:val="22"/>
              </w:rPr>
              <w:t>Wholesale / Mandi</w:t>
            </w:r>
          </w:p>
        </w:tc>
        <w:tc>
          <w:tcPr>
            <w:tcW w:type="dxa" w:w="1134"/>
            <w:vAlign w:val="center"/>
          </w:tcPr>
          <w:p>
            <w:pPr>
              <w:jc w:val="left"/>
            </w:pPr>
            <w:r/>
            <w:r>
              <w:rPr>
                <w:rFonts w:ascii="Times New Roman" w:hAnsi="Times New Roman" w:cs="Times New Roman"/>
                <w:b w:val="0"/>
                <w:i w:val="0"/>
                <w:sz w:val="22"/>
              </w:rPr>
              <w:t>10</w:t>
            </w:r>
          </w:p>
        </w:tc>
        <w:tc>
          <w:tcPr>
            <w:tcW w:type="dxa" w:w="1134"/>
            <w:vAlign w:val="center"/>
          </w:tcPr>
          <w:p>
            <w:pPr>
              <w:jc w:val="left"/>
            </w:pPr>
            <w:r/>
            <w:r>
              <w:rPr>
                <w:rFonts w:ascii="Times New Roman" w:hAnsi="Times New Roman" w:cs="Times New Roman"/>
                <w:b w:val="0"/>
                <w:i w:val="0"/>
                <w:sz w:val="22"/>
              </w:rPr>
              <w:t>9</w:t>
            </w:r>
          </w:p>
        </w:tc>
        <w:tc>
          <w:tcPr>
            <w:tcW w:type="dxa" w:w="1134"/>
            <w:vAlign w:val="center"/>
          </w:tcPr>
          <w:p>
            <w:pPr>
              <w:jc w:val="left"/>
            </w:pPr>
            <w:r/>
            <w:r>
              <w:rPr>
                <w:rFonts w:ascii="Times New Roman" w:hAnsi="Times New Roman" w:cs="Times New Roman"/>
                <w:b w:val="0"/>
                <w:i w:val="0"/>
                <w:sz w:val="22"/>
              </w:rPr>
              <w:t>9</w:t>
            </w:r>
          </w:p>
        </w:tc>
        <w:tc>
          <w:tcPr>
            <w:tcW w:type="dxa" w:w="1134"/>
            <w:vAlign w:val="center"/>
          </w:tcPr>
          <w:p>
            <w:pPr>
              <w:jc w:val="left"/>
            </w:pPr>
            <w:r/>
            <w:r>
              <w:rPr>
                <w:rFonts w:ascii="Times New Roman" w:hAnsi="Times New Roman" w:cs="Times New Roman"/>
                <w:b w:val="0"/>
                <w:i w:val="0"/>
                <w:sz w:val="22"/>
              </w:rPr>
              <w:t>28</w:t>
            </w:r>
          </w:p>
        </w:tc>
        <w:tc>
          <w:tcPr>
            <w:tcW w:type="dxa" w:w="1134"/>
            <w:vAlign w:val="center"/>
          </w:tcPr>
          <w:p>
            <w:pPr>
              <w:jc w:val="left"/>
            </w:pPr>
            <w:r/>
            <w:r>
              <w:rPr>
                <w:rFonts w:ascii="Times New Roman" w:hAnsi="Times New Roman" w:cs="Times New Roman"/>
                <w:b w:val="0"/>
                <w:i w:val="0"/>
                <w:sz w:val="22"/>
              </w:rPr>
              <w:t>16</w:t>
            </w:r>
          </w:p>
        </w:tc>
        <w:tc>
          <w:tcPr>
            <w:tcW w:type="dxa" w:w="1134"/>
            <w:vAlign w:val="center"/>
          </w:tcPr>
          <w:p>
            <w:pPr>
              <w:jc w:val="left"/>
            </w:pPr>
            <w:r/>
            <w:r>
              <w:rPr>
                <w:rFonts w:ascii="Times New Roman" w:hAnsi="Times New Roman" w:cs="Times New Roman"/>
                <w:b w:val="0"/>
                <w:i w:val="0"/>
                <w:sz w:val="22"/>
              </w:rPr>
              <w:t>12</w:t>
            </w:r>
          </w:p>
        </w:tc>
      </w:tr>
      <w:tr>
        <w:tc>
          <w:tcPr>
            <w:tcW w:type="dxa" w:w="2494"/>
            <w:vAlign w:val="center"/>
          </w:tcPr>
          <w:p>
            <w:pPr>
              <w:jc w:val="left"/>
            </w:pPr>
            <w:r/>
            <w:r>
              <w:rPr>
                <w:rFonts w:ascii="Times New Roman" w:hAnsi="Times New Roman" w:cs="Times New Roman"/>
                <w:b w:val="0"/>
                <w:i w:val="0"/>
                <w:sz w:val="22"/>
              </w:rPr>
              <w:t>Retailer</w:t>
            </w:r>
          </w:p>
        </w:tc>
        <w:tc>
          <w:tcPr>
            <w:tcW w:type="dxa" w:w="1134"/>
            <w:vAlign w:val="center"/>
          </w:tcPr>
          <w:p>
            <w:pPr>
              <w:jc w:val="left"/>
            </w:pPr>
            <w:r/>
            <w:r>
              <w:rPr>
                <w:rFonts w:ascii="Times New Roman" w:hAnsi="Times New Roman" w:cs="Times New Roman"/>
                <w:b w:val="0"/>
                <w:i w:val="0"/>
                <w:sz w:val="22"/>
              </w:rPr>
              <w:t>10</w:t>
            </w:r>
          </w:p>
        </w:tc>
        <w:tc>
          <w:tcPr>
            <w:tcW w:type="dxa" w:w="1134"/>
            <w:vAlign w:val="center"/>
          </w:tcPr>
          <w:p>
            <w:pPr>
              <w:jc w:val="left"/>
            </w:pPr>
            <w:r/>
            <w:r>
              <w:rPr>
                <w:rFonts w:ascii="Times New Roman" w:hAnsi="Times New Roman" w:cs="Times New Roman"/>
                <w:b w:val="0"/>
                <w:i w:val="0"/>
                <w:sz w:val="22"/>
              </w:rPr>
              <w:t>7</w:t>
            </w:r>
          </w:p>
        </w:tc>
        <w:tc>
          <w:tcPr>
            <w:tcW w:type="dxa" w:w="1134"/>
            <w:vAlign w:val="center"/>
          </w:tcPr>
          <w:p>
            <w:pPr>
              <w:jc w:val="left"/>
            </w:pPr>
            <w:r/>
            <w:r>
              <w:rPr>
                <w:rFonts w:ascii="Times New Roman" w:hAnsi="Times New Roman" w:cs="Times New Roman"/>
                <w:b w:val="0"/>
                <w:i w:val="0"/>
                <w:sz w:val="22"/>
              </w:rPr>
              <w:t>8</w:t>
            </w:r>
          </w:p>
        </w:tc>
        <w:tc>
          <w:tcPr>
            <w:tcW w:type="dxa" w:w="1134"/>
            <w:vAlign w:val="center"/>
          </w:tcPr>
          <w:p>
            <w:pPr>
              <w:jc w:val="left"/>
            </w:pPr>
            <w:r/>
            <w:r>
              <w:rPr>
                <w:rFonts w:ascii="Times New Roman" w:hAnsi="Times New Roman" w:cs="Times New Roman"/>
                <w:b w:val="0"/>
                <w:i w:val="0"/>
                <w:sz w:val="22"/>
              </w:rPr>
              <w:t>25</w:t>
            </w:r>
          </w:p>
        </w:tc>
        <w:tc>
          <w:tcPr>
            <w:tcW w:type="dxa" w:w="1134"/>
            <w:vAlign w:val="center"/>
          </w:tcPr>
          <w:p>
            <w:pPr>
              <w:jc w:val="left"/>
            </w:pPr>
            <w:r/>
            <w:r>
              <w:rPr>
                <w:rFonts w:ascii="Times New Roman" w:hAnsi="Times New Roman" w:cs="Times New Roman"/>
                <w:b w:val="0"/>
                <w:i w:val="0"/>
                <w:sz w:val="22"/>
              </w:rPr>
              <w:t>15</w:t>
            </w:r>
          </w:p>
        </w:tc>
        <w:tc>
          <w:tcPr>
            <w:tcW w:type="dxa" w:w="1134"/>
            <w:vAlign w:val="center"/>
          </w:tcPr>
          <w:p>
            <w:pPr>
              <w:jc w:val="left"/>
            </w:pPr>
            <w:r/>
            <w:r>
              <w:rPr>
                <w:rFonts w:ascii="Times New Roman" w:hAnsi="Times New Roman" w:cs="Times New Roman"/>
                <w:b w:val="0"/>
                <w:i w:val="0"/>
                <w:sz w:val="22"/>
              </w:rPr>
              <w:t>10</w:t>
            </w:r>
          </w:p>
        </w:tc>
      </w:tr>
      <w:tr>
        <w:tc>
          <w:tcPr>
            <w:tcW w:type="dxa" w:w="2494"/>
            <w:vAlign w:val="center"/>
          </w:tcPr>
          <w:p>
            <w:pPr>
              <w:jc w:val="left"/>
            </w:pPr>
            <w:r/>
            <w:r>
              <w:rPr>
                <w:rFonts w:ascii="Times New Roman" w:hAnsi="Times New Roman" w:cs="Times New Roman"/>
                <w:b w:val="0"/>
                <w:i w:val="0"/>
                <w:sz w:val="22"/>
              </w:rPr>
              <w:t>Transportation</w:t>
            </w:r>
          </w:p>
        </w:tc>
        <w:tc>
          <w:tcPr>
            <w:tcW w:type="dxa" w:w="1134"/>
            <w:vAlign w:val="center"/>
          </w:tcPr>
          <w:p>
            <w:pPr>
              <w:jc w:val="left"/>
            </w:pPr>
            <w:r/>
            <w:r>
              <w:rPr>
                <w:rFonts w:ascii="Times New Roman" w:hAnsi="Times New Roman" w:cs="Times New Roman"/>
                <w:b w:val="0"/>
                <w:i w:val="0"/>
                <w:sz w:val="22"/>
              </w:rPr>
              <w:t>11</w:t>
            </w:r>
          </w:p>
        </w:tc>
        <w:tc>
          <w:tcPr>
            <w:tcW w:type="dxa" w:w="1134"/>
            <w:vAlign w:val="center"/>
          </w:tcPr>
          <w:p>
            <w:pPr>
              <w:jc w:val="left"/>
            </w:pPr>
            <w:r/>
            <w:r>
              <w:rPr>
                <w:rFonts w:ascii="Times New Roman" w:hAnsi="Times New Roman" w:cs="Times New Roman"/>
                <w:b w:val="0"/>
                <w:i w:val="0"/>
                <w:sz w:val="22"/>
              </w:rPr>
              <w:t>10</w:t>
            </w:r>
          </w:p>
        </w:tc>
        <w:tc>
          <w:tcPr>
            <w:tcW w:type="dxa" w:w="1134"/>
            <w:vAlign w:val="center"/>
          </w:tcPr>
          <w:p>
            <w:pPr>
              <w:jc w:val="left"/>
            </w:pPr>
            <w:r/>
            <w:r>
              <w:rPr>
                <w:rFonts w:ascii="Times New Roman" w:hAnsi="Times New Roman" w:cs="Times New Roman"/>
                <w:b w:val="0"/>
                <w:i w:val="0"/>
                <w:sz w:val="22"/>
              </w:rPr>
              <w:t>9</w:t>
            </w:r>
          </w:p>
        </w:tc>
        <w:tc>
          <w:tcPr>
            <w:tcW w:type="dxa" w:w="1134"/>
            <w:vAlign w:val="center"/>
          </w:tcPr>
          <w:p>
            <w:pPr>
              <w:jc w:val="left"/>
            </w:pPr>
            <w:r/>
            <w:r>
              <w:rPr>
                <w:rFonts w:ascii="Times New Roman" w:hAnsi="Times New Roman" w:cs="Times New Roman"/>
                <w:b w:val="0"/>
                <w:i w:val="0"/>
                <w:sz w:val="22"/>
              </w:rPr>
              <w:t>30</w:t>
            </w:r>
          </w:p>
        </w:tc>
        <w:tc>
          <w:tcPr>
            <w:tcW w:type="dxa" w:w="1134"/>
            <w:vAlign w:val="center"/>
          </w:tcPr>
          <w:p>
            <w:pPr>
              <w:jc w:val="left"/>
            </w:pPr>
            <w:r/>
            <w:r>
              <w:rPr>
                <w:rFonts w:ascii="Times New Roman" w:hAnsi="Times New Roman" w:cs="Times New Roman"/>
                <w:b w:val="0"/>
                <w:i w:val="0"/>
                <w:sz w:val="22"/>
              </w:rPr>
              <w:t>16</w:t>
            </w:r>
          </w:p>
        </w:tc>
        <w:tc>
          <w:tcPr>
            <w:tcW w:type="dxa" w:w="1134"/>
            <w:vAlign w:val="center"/>
          </w:tcPr>
          <w:p>
            <w:pPr>
              <w:jc w:val="left"/>
            </w:pPr>
            <w:r/>
            <w:r>
              <w:rPr>
                <w:rFonts w:ascii="Times New Roman" w:hAnsi="Times New Roman" w:cs="Times New Roman"/>
                <w:b w:val="0"/>
                <w:i w:val="0"/>
                <w:sz w:val="22"/>
              </w:rPr>
              <w:t>14</w:t>
            </w:r>
          </w:p>
        </w:tc>
      </w:tr>
      <w:tr>
        <w:tc>
          <w:tcPr>
            <w:tcW w:type="dxa" w:w="2494"/>
            <w:vAlign w:val="center"/>
          </w:tcPr>
          <w:p>
            <w:pPr>
              <w:jc w:val="left"/>
            </w:pPr>
            <w:r/>
            <w:r>
              <w:rPr>
                <w:rFonts w:ascii="Times New Roman" w:hAnsi="Times New Roman" w:cs="Times New Roman"/>
                <w:b w:val="0"/>
                <w:i w:val="0"/>
                <w:sz w:val="22"/>
              </w:rPr>
              <w:t>TOTAL</w:t>
            </w:r>
          </w:p>
        </w:tc>
        <w:tc>
          <w:tcPr>
            <w:tcW w:type="dxa" w:w="1134"/>
            <w:vAlign w:val="center"/>
          </w:tcPr>
          <w:p>
            <w:pPr>
              <w:jc w:val="left"/>
            </w:pPr>
            <w:r/>
            <w:r>
              <w:rPr>
                <w:rFonts w:ascii="Times New Roman" w:hAnsi="Times New Roman" w:cs="Times New Roman"/>
                <w:b w:val="0"/>
                <w:i w:val="0"/>
                <w:sz w:val="22"/>
              </w:rPr>
              <w:t>54</w:t>
            </w:r>
          </w:p>
        </w:tc>
        <w:tc>
          <w:tcPr>
            <w:tcW w:type="dxa" w:w="1134"/>
            <w:vAlign w:val="center"/>
          </w:tcPr>
          <w:p>
            <w:pPr>
              <w:jc w:val="left"/>
            </w:pPr>
            <w:r/>
            <w:r>
              <w:rPr>
                <w:rFonts w:ascii="Times New Roman" w:hAnsi="Times New Roman" w:cs="Times New Roman"/>
                <w:b w:val="0"/>
                <w:i w:val="0"/>
                <w:sz w:val="22"/>
              </w:rPr>
              <w:t>45</w:t>
            </w:r>
          </w:p>
        </w:tc>
        <w:tc>
          <w:tcPr>
            <w:tcW w:type="dxa" w:w="1134"/>
            <w:vAlign w:val="center"/>
          </w:tcPr>
          <w:p>
            <w:pPr>
              <w:jc w:val="left"/>
            </w:pPr>
            <w:r/>
            <w:r>
              <w:rPr>
                <w:rFonts w:ascii="Times New Roman" w:hAnsi="Times New Roman" w:cs="Times New Roman"/>
                <w:b w:val="0"/>
                <w:i w:val="0"/>
                <w:sz w:val="22"/>
              </w:rPr>
              <w:t>45</w:t>
            </w:r>
          </w:p>
        </w:tc>
        <w:tc>
          <w:tcPr>
            <w:tcW w:type="dxa" w:w="1134"/>
            <w:vAlign w:val="center"/>
          </w:tcPr>
          <w:p>
            <w:pPr>
              <w:jc w:val="left"/>
            </w:pPr>
            <w:r/>
            <w:r>
              <w:rPr>
                <w:rFonts w:ascii="Times New Roman" w:hAnsi="Times New Roman" w:cs="Times New Roman"/>
                <w:b w:val="0"/>
                <w:i w:val="0"/>
                <w:sz w:val="22"/>
              </w:rPr>
              <w:t>144</w:t>
            </w:r>
          </w:p>
        </w:tc>
        <w:tc>
          <w:tcPr>
            <w:tcW w:type="dxa" w:w="1134"/>
            <w:vAlign w:val="center"/>
          </w:tcPr>
          <w:p>
            <w:pPr>
              <w:jc w:val="left"/>
            </w:pPr>
            <w:r/>
            <w:r>
              <w:rPr>
                <w:rFonts w:ascii="Times New Roman" w:hAnsi="Times New Roman" w:cs="Times New Roman"/>
                <w:b w:val="0"/>
                <w:i w:val="0"/>
                <w:sz w:val="22"/>
              </w:rPr>
              <w:t>82</w:t>
            </w:r>
          </w:p>
        </w:tc>
        <w:tc>
          <w:tcPr>
            <w:tcW w:type="dxa" w:w="1134"/>
            <w:vAlign w:val="center"/>
          </w:tcPr>
          <w:p>
            <w:pPr>
              <w:jc w:val="left"/>
            </w:pPr>
            <w:r/>
            <w:r>
              <w:rPr>
                <w:rFonts w:ascii="Times New Roman" w:hAnsi="Times New Roman" w:cs="Times New Roman"/>
                <w:b w:val="0"/>
                <w:i w:val="0"/>
                <w:sz w:val="22"/>
              </w:rPr>
              <w:t>62</w:t>
            </w:r>
          </w:p>
        </w:tc>
      </w:tr>
    </w:tbl>
    <w:p>
      <w:pPr>
        <w:spacing w:before="40" w:after="160"/>
        <w:jc w:val="center"/>
      </w:pPr>
      <w:r>
        <w:rPr>
          <w:rFonts w:ascii="Times New Roman" w:hAnsi="Times New Roman" w:cs="Times New Roman"/>
          <w:b/>
          <w:i/>
          <w:sz w:val="22"/>
        </w:rPr>
        <w:t>Table 3.2  Stage-wise distribution of factors (144 → 82)</w:t>
      </w:r>
    </w:p>
    <w:p>
      <w:pPr>
        <w:spacing w:before="160" w:after="40"/>
        <w:jc w:val="center"/>
      </w:pPr>
      <w:r>
        <w:drawing>
          <wp:inline xmlns:a="http://schemas.openxmlformats.org/drawingml/2006/main" xmlns:pic="http://schemas.openxmlformats.org/drawingml/2006/picture">
            <wp:extent cx="5852160" cy="3024943"/>
            <wp:docPr id="6" name="Picture 6"/>
            <wp:cNvGraphicFramePr>
              <a:graphicFrameLocks noChangeAspect="1"/>
            </wp:cNvGraphicFramePr>
            <a:graphic>
              <a:graphicData uri="http://schemas.openxmlformats.org/drawingml/2006/picture">
                <pic:pic>
                  <pic:nvPicPr>
                    <pic:cNvPr id="0" name="fig_3_7_stage_dim_dist.png"/>
                    <pic:cNvPicPr/>
                  </pic:nvPicPr>
                  <pic:blipFill>
                    <a:blip r:embed="rId14"/>
                    <a:stretch>
                      <a:fillRect/>
                    </a:stretch>
                  </pic:blipFill>
                  <pic:spPr>
                    <a:xfrm>
                      <a:off x="0" y="0"/>
                      <a:ext cx="5852160" cy="3024943"/>
                    </a:xfrm>
                    <a:prstGeom prst="rect"/>
                  </pic:spPr>
                </pic:pic>
              </a:graphicData>
            </a:graphic>
          </wp:inline>
        </w:drawing>
      </w:r>
    </w:p>
    <w:p>
      <w:pPr>
        <w:spacing w:before="40" w:after="160"/>
        <w:jc w:val="center"/>
      </w:pPr>
      <w:r>
        <w:rPr>
          <w:rFonts w:ascii="Times New Roman" w:hAnsi="Times New Roman" w:cs="Times New Roman"/>
          <w:b/>
          <w:i/>
          <w:sz w:val="22"/>
        </w:rPr>
        <w:t>Figure 3.6  Stage × Dimension distribution of factors: initial 144 vs final 82</w:t>
      </w:r>
    </w:p>
    <w:p>
      <w:r>
        <w:rPr>
          <w:b/>
          <w:sz w:val="24"/>
        </w:rPr>
        <w:t>3.5.3  VRIO-based segregation of the 144 factors</w:t>
      </w:r>
    </w:p>
    <w:p>
      <w:r>
        <w:t>Once the initial pool had been catalogued, every one of the 144 candidate items was put through the VRIO sieve before any empirical trimming was attempted. The intent at this stage was theoretical, not statistical: to ask, item by item, whether the underlying resource or capability that the factor proxies could conceivably support a competitive position for the Malta chain in Garhwal. The four standard questions of the framework (Barney, 1991; Barney and Hesterly, 2010) were posed in sequence, with each item progressing only after a positive answer to the previous question.</w:t>
      </w:r>
    </w:p>
    <w:p>
      <w:r>
        <w:t>Value (V) was read as the capacity of a factor to either lift revenue or pull down cost, time or quality losses for at least one node in the chain. Rareness (R) was assessed against the population of comparable actors operating in the same five districts; uniformly held items, such as a generic mandi entry fee, were marked R = No. Inimitability (I) was treated as a function of terrain, accumulated tacit learning and relational embeddedness; for example, the way an experienced hill grower handles fruit between the orchard and the collection shed is not easy to replicate in the short run. Organisation (O) asked whether the chain is presently structured to extract value from the item, or whether the resource lies dormant. Items that fail at the V stage are labelled a competitive disadvantage in the strict Barney sense, but for the present chapter they are read more pragmatically as strategically peripheral.</w:t>
      </w:r>
    </w:p>
    <w:p>
      <w:pPr>
        <w:jc w:val="center"/>
      </w:pPr>
      <w:r>
        <w:rPr>
          <w:i/>
        </w:rPr>
        <w:t>Figure 3.6a  VRIO decision logic applied to each of the 144 factors</w:t>
      </w:r>
    </w:p>
    <w:p>
      <w:pPr>
        <w:jc w:val="center"/>
      </w:pPr>
      <w:r>
        <w:drawing>
          <wp:inline xmlns:a="http://schemas.openxmlformats.org/drawingml/2006/main" xmlns:pic="http://schemas.openxmlformats.org/drawingml/2006/picture">
            <wp:extent cx="5120640" cy="3829483"/>
            <wp:docPr id="11" name="Picture 11"/>
            <wp:cNvGraphicFramePr>
              <a:graphicFrameLocks noChangeAspect="1"/>
            </wp:cNvGraphicFramePr>
            <a:graphic>
              <a:graphicData uri="http://schemas.openxmlformats.org/drawingml/2006/picture">
                <pic:pic>
                  <pic:nvPicPr>
                    <pic:cNvPr id="0" name="fig_vrio_decision_flow.png"/>
                    <pic:cNvPicPr/>
                  </pic:nvPicPr>
                  <pic:blipFill>
                    <a:blip r:embed="rId19"/>
                    <a:stretch>
                      <a:fillRect/>
                    </a:stretch>
                  </pic:blipFill>
                  <pic:spPr>
                    <a:xfrm>
                      <a:off x="0" y="0"/>
                      <a:ext cx="5120640" cy="3829483"/>
                    </a:xfrm>
                    <a:prstGeom prst="rect"/>
                  </pic:spPr>
                </pic:pic>
              </a:graphicData>
            </a:graphic>
          </wp:inline>
        </w:drawing>
      </w:r>
    </w:p>
    <w:p>
      <w:r>
        <w:rPr>
          <w:i/>
          <w:sz w:val="18"/>
        </w:rPr>
        <w:t>Note. The diamond gates correspond to the four VRIO questions; the left-hand boxes show the strategic verdict that follows when a factor fails the question in front of it. A factor must pass all four gates to qualify as a source of sustained advantage.</w:t>
      </w:r>
    </w:p>
    <w:p>
      <w:r>
        <w:t>Table 3.2a presents the stage-wise VRIO segregation of the 144 factors. Two patterns are visible immediately. First, almost every stage carries a long tail of items that sit at parity or below: these are the unavoidable, uniformly imposed costs and procedural delays that cannot, on their own, give any node a strategic edge. Second, the items that cluster in the temporary, unused and sustained categories overwhelmingly belong to the quality dimension and to terrain-shaped time factors. This is consistent with what one would expect of a hill horticulture chain in which scarce, tacit and locationally bound capabilities matter more than commodity-like inputs (Peteraf, 1993; Newbert, 2008).</w:t>
      </w:r>
    </w:p>
    <w:p>
      <w:r>
        <w:rPr>
          <w:i/>
        </w:rPr>
        <w:t>Table 3.2a  Stage-wise VRIO segregation of the 144 factors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Stage</w:t>
            </w:r>
          </w:p>
        </w:tc>
        <w:tc>
          <w:tcPr>
            <w:tcW w:type="dxa" w:w="1337"/>
          </w:tcPr>
          <w:p>
            <w:r>
              <w:t>Competitive Disadvantage</w:t>
            </w:r>
          </w:p>
        </w:tc>
        <w:tc>
          <w:tcPr>
            <w:tcW w:type="dxa" w:w="1337"/>
          </w:tcPr>
          <w:p>
            <w:r>
              <w:t>Competitive Parity</w:t>
            </w:r>
          </w:p>
        </w:tc>
        <w:tc>
          <w:tcPr>
            <w:tcW w:type="dxa" w:w="1337"/>
          </w:tcPr>
          <w:p>
            <w:r>
              <w:t>Temporary Competitive Advantage</w:t>
            </w:r>
          </w:p>
        </w:tc>
        <w:tc>
          <w:tcPr>
            <w:tcW w:type="dxa" w:w="1337"/>
          </w:tcPr>
          <w:p>
            <w:r>
              <w:t>Unused Competitive Advantage</w:t>
            </w:r>
          </w:p>
        </w:tc>
        <w:tc>
          <w:tcPr>
            <w:tcW w:type="dxa" w:w="1337"/>
          </w:tcPr>
          <w:p>
            <w:r>
              <w:t>Sustained Competitive Advantage</w:t>
            </w:r>
          </w:p>
        </w:tc>
        <w:tc>
          <w:tcPr>
            <w:tcW w:type="dxa" w:w="1337"/>
          </w:tcPr>
          <w:p>
            <w:r>
              <w:t>Total</w:t>
            </w:r>
          </w:p>
        </w:tc>
      </w:tr>
      <w:tr>
        <w:tc>
          <w:tcPr>
            <w:tcW w:type="dxa" w:w="1337"/>
          </w:tcPr>
          <w:p>
            <w:r>
              <w:t>Farm / Grower</w:t>
            </w:r>
          </w:p>
        </w:tc>
        <w:tc>
          <w:tcPr>
            <w:tcW w:type="dxa" w:w="1337"/>
          </w:tcPr>
          <w:p>
            <w:r>
              <w:t>8</w:t>
            </w:r>
          </w:p>
        </w:tc>
        <w:tc>
          <w:tcPr>
            <w:tcW w:type="dxa" w:w="1337"/>
          </w:tcPr>
          <w:p>
            <w:r>
              <w:t>5</w:t>
            </w:r>
          </w:p>
        </w:tc>
        <w:tc>
          <w:tcPr>
            <w:tcW w:type="dxa" w:w="1337"/>
          </w:tcPr>
          <w:p>
            <w:r>
              <w:t>12</w:t>
            </w:r>
          </w:p>
        </w:tc>
        <w:tc>
          <w:tcPr>
            <w:tcW w:type="dxa" w:w="1337"/>
          </w:tcPr>
          <w:p>
            <w:r>
              <w:t>3</w:t>
            </w:r>
          </w:p>
        </w:tc>
        <w:tc>
          <w:tcPr>
            <w:tcW w:type="dxa" w:w="1337"/>
          </w:tcPr>
          <w:p>
            <w:r>
              <w:t>4</w:t>
            </w:r>
          </w:p>
        </w:tc>
        <w:tc>
          <w:tcPr>
            <w:tcW w:type="dxa" w:w="1337"/>
          </w:tcPr>
          <w:p>
            <w:r>
              <w:t>32</w:t>
            </w:r>
          </w:p>
        </w:tc>
      </w:tr>
      <w:tr>
        <w:tc>
          <w:tcPr>
            <w:tcW w:type="dxa" w:w="1337"/>
          </w:tcPr>
          <w:p>
            <w:r>
              <w:t>Local Trader</w:t>
            </w:r>
          </w:p>
        </w:tc>
        <w:tc>
          <w:tcPr>
            <w:tcW w:type="dxa" w:w="1337"/>
          </w:tcPr>
          <w:p>
            <w:r>
              <w:t>4</w:t>
            </w:r>
          </w:p>
        </w:tc>
        <w:tc>
          <w:tcPr>
            <w:tcW w:type="dxa" w:w="1337"/>
          </w:tcPr>
          <w:p>
            <w:r>
              <w:t>6</w:t>
            </w:r>
          </w:p>
        </w:tc>
        <w:tc>
          <w:tcPr>
            <w:tcW w:type="dxa" w:w="1337"/>
          </w:tcPr>
          <w:p>
            <w:r>
              <w:t>12</w:t>
            </w:r>
          </w:p>
        </w:tc>
        <w:tc>
          <w:tcPr>
            <w:tcW w:type="dxa" w:w="1337"/>
          </w:tcPr>
          <w:p>
            <w:r>
              <w:t>7</w:t>
            </w:r>
          </w:p>
        </w:tc>
        <w:tc>
          <w:tcPr>
            <w:tcW w:type="dxa" w:w="1337"/>
          </w:tcPr>
          <w:p>
            <w:r>
              <w:t>0</w:t>
            </w:r>
          </w:p>
        </w:tc>
        <w:tc>
          <w:tcPr>
            <w:tcW w:type="dxa" w:w="1337"/>
          </w:tcPr>
          <w:p>
            <w:r>
              <w:t>29</w:t>
            </w:r>
          </w:p>
        </w:tc>
      </w:tr>
      <w:tr>
        <w:tc>
          <w:tcPr>
            <w:tcW w:type="dxa" w:w="1337"/>
          </w:tcPr>
          <w:p>
            <w:r>
              <w:t>Wholesale / Mandi</w:t>
            </w:r>
          </w:p>
        </w:tc>
        <w:tc>
          <w:tcPr>
            <w:tcW w:type="dxa" w:w="1337"/>
          </w:tcPr>
          <w:p>
            <w:r>
              <w:t>6</w:t>
            </w:r>
          </w:p>
        </w:tc>
        <w:tc>
          <w:tcPr>
            <w:tcW w:type="dxa" w:w="1337"/>
          </w:tcPr>
          <w:p>
            <w:r>
              <w:t>10</w:t>
            </w:r>
          </w:p>
        </w:tc>
        <w:tc>
          <w:tcPr>
            <w:tcW w:type="dxa" w:w="1337"/>
          </w:tcPr>
          <w:p>
            <w:r>
              <w:t>8</w:t>
            </w:r>
          </w:p>
        </w:tc>
        <w:tc>
          <w:tcPr>
            <w:tcW w:type="dxa" w:w="1337"/>
          </w:tcPr>
          <w:p>
            <w:r>
              <w:t>3</w:t>
            </w:r>
          </w:p>
        </w:tc>
        <w:tc>
          <w:tcPr>
            <w:tcW w:type="dxa" w:w="1337"/>
          </w:tcPr>
          <w:p>
            <w:r>
              <w:t>1</w:t>
            </w:r>
          </w:p>
        </w:tc>
        <w:tc>
          <w:tcPr>
            <w:tcW w:type="dxa" w:w="1337"/>
          </w:tcPr>
          <w:p>
            <w:r>
              <w:t>28</w:t>
            </w:r>
          </w:p>
        </w:tc>
      </w:tr>
      <w:tr>
        <w:tc>
          <w:tcPr>
            <w:tcW w:type="dxa" w:w="1337"/>
          </w:tcPr>
          <w:p>
            <w:r>
              <w:t>Retailer</w:t>
            </w:r>
          </w:p>
        </w:tc>
        <w:tc>
          <w:tcPr>
            <w:tcW w:type="dxa" w:w="1337"/>
          </w:tcPr>
          <w:p>
            <w:r>
              <w:t>4</w:t>
            </w:r>
          </w:p>
        </w:tc>
        <w:tc>
          <w:tcPr>
            <w:tcW w:type="dxa" w:w="1337"/>
          </w:tcPr>
          <w:p>
            <w:r>
              <w:t>7</w:t>
            </w:r>
          </w:p>
        </w:tc>
        <w:tc>
          <w:tcPr>
            <w:tcW w:type="dxa" w:w="1337"/>
          </w:tcPr>
          <w:p>
            <w:r>
              <w:t>11</w:t>
            </w:r>
          </w:p>
        </w:tc>
        <w:tc>
          <w:tcPr>
            <w:tcW w:type="dxa" w:w="1337"/>
          </w:tcPr>
          <w:p>
            <w:r>
              <w:t>0</w:t>
            </w:r>
          </w:p>
        </w:tc>
        <w:tc>
          <w:tcPr>
            <w:tcW w:type="dxa" w:w="1337"/>
          </w:tcPr>
          <w:p>
            <w:r>
              <w:t>3</w:t>
            </w:r>
          </w:p>
        </w:tc>
        <w:tc>
          <w:tcPr>
            <w:tcW w:type="dxa" w:w="1337"/>
          </w:tcPr>
          <w:p>
            <w:r>
              <w:t>25</w:t>
            </w:r>
          </w:p>
        </w:tc>
      </w:tr>
      <w:tr>
        <w:tc>
          <w:tcPr>
            <w:tcW w:type="dxa" w:w="1337"/>
          </w:tcPr>
          <w:p>
            <w:r>
              <w:t>Transportation</w:t>
            </w:r>
          </w:p>
        </w:tc>
        <w:tc>
          <w:tcPr>
            <w:tcW w:type="dxa" w:w="1337"/>
          </w:tcPr>
          <w:p>
            <w:r>
              <w:t>4</w:t>
            </w:r>
          </w:p>
        </w:tc>
        <w:tc>
          <w:tcPr>
            <w:tcW w:type="dxa" w:w="1337"/>
          </w:tcPr>
          <w:p>
            <w:r>
              <w:t>10</w:t>
            </w:r>
          </w:p>
        </w:tc>
        <w:tc>
          <w:tcPr>
            <w:tcW w:type="dxa" w:w="1337"/>
          </w:tcPr>
          <w:p>
            <w:r>
              <w:t>4</w:t>
            </w:r>
          </w:p>
        </w:tc>
        <w:tc>
          <w:tcPr>
            <w:tcW w:type="dxa" w:w="1337"/>
          </w:tcPr>
          <w:p>
            <w:r>
              <w:t>9</w:t>
            </w:r>
          </w:p>
        </w:tc>
        <w:tc>
          <w:tcPr>
            <w:tcW w:type="dxa" w:w="1337"/>
          </w:tcPr>
          <w:p>
            <w:r>
              <w:t>3</w:t>
            </w:r>
          </w:p>
        </w:tc>
        <w:tc>
          <w:tcPr>
            <w:tcW w:type="dxa" w:w="1337"/>
          </w:tcPr>
          <w:p>
            <w:r>
              <w:t>30</w:t>
            </w:r>
          </w:p>
        </w:tc>
      </w:tr>
      <w:tr>
        <w:tc>
          <w:tcPr>
            <w:tcW w:type="dxa" w:w="1337"/>
          </w:tcPr>
          <w:p>
            <w:r>
              <w:t>All stages</w:t>
            </w:r>
          </w:p>
        </w:tc>
        <w:tc>
          <w:tcPr>
            <w:tcW w:type="dxa" w:w="1337"/>
          </w:tcPr>
          <w:p>
            <w:r>
              <w:t>26</w:t>
            </w:r>
          </w:p>
        </w:tc>
        <w:tc>
          <w:tcPr>
            <w:tcW w:type="dxa" w:w="1337"/>
          </w:tcPr>
          <w:p>
            <w:r>
              <w:t>38</w:t>
            </w:r>
          </w:p>
        </w:tc>
        <w:tc>
          <w:tcPr>
            <w:tcW w:type="dxa" w:w="1337"/>
          </w:tcPr>
          <w:p>
            <w:r>
              <w:t>47</w:t>
            </w:r>
          </w:p>
        </w:tc>
        <w:tc>
          <w:tcPr>
            <w:tcW w:type="dxa" w:w="1337"/>
          </w:tcPr>
          <w:p>
            <w:r>
              <w:t>22</w:t>
            </w:r>
          </w:p>
        </w:tc>
        <w:tc>
          <w:tcPr>
            <w:tcW w:type="dxa" w:w="1337"/>
          </w:tcPr>
          <w:p>
            <w:r>
              <w:t>11</w:t>
            </w:r>
          </w:p>
        </w:tc>
        <w:tc>
          <w:tcPr>
            <w:tcW w:type="dxa" w:w="1337"/>
          </w:tcPr>
          <w:p>
            <w:r>
              <w:t>144</w:t>
            </w:r>
          </w:p>
        </w:tc>
      </w:tr>
    </w:tbl>
    <w:p>
      <w:r>
        <w:t>Table 3.2b reports the item-level segregation. The columns mark each factor against the four VRIO questions, the resulting strategic verdict, and the eventual retention decision after the empirical elimination protocol of Section 3.7. It should be noted that the VRIO column and the Decision column do not have to coincide. A factor can be theoretically rare and inimitable yet still get dropped because it correlates too weakly with its parent scale, just as an item that sits at parity in VRIO terms can earn its place in the instrument because chain actors respond to it consistently. The two filters are complementary, not substitutable.</w:t>
      </w:r>
    </w:p>
    <w:p>
      <w:r>
        <w:rPr>
          <w:i/>
        </w:rPr>
        <w:t>Table 3.2b  VRIO classification of the 144 factors (item-level)</w:t>
      </w:r>
    </w:p>
    <w:p>
      <w:r>
        <w:rPr>
          <w:b/>
        </w:rPr>
        <w:t>Farm / Grower stage  (32 factors)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54"/>
          </w:tcPr>
          <w:p>
            <w:r>
              <w:t>#</w:t>
            </w:r>
          </w:p>
        </w:tc>
        <w:tc>
          <w:tcPr>
            <w:tcW w:type="dxa" w:w="4309"/>
          </w:tcPr>
          <w:p>
            <w:r>
              <w:t>Factor</w:t>
            </w:r>
          </w:p>
        </w:tc>
        <w:tc>
          <w:tcPr>
            <w:tcW w:type="dxa" w:w="397"/>
          </w:tcPr>
          <w:p>
            <w:r>
              <w:t>V</w:t>
            </w:r>
          </w:p>
        </w:tc>
        <w:tc>
          <w:tcPr>
            <w:tcW w:type="dxa" w:w="397"/>
          </w:tcPr>
          <w:p>
            <w:r>
              <w:t>R</w:t>
            </w:r>
          </w:p>
        </w:tc>
        <w:tc>
          <w:tcPr>
            <w:tcW w:type="dxa" w:w="397"/>
          </w:tcPr>
          <w:p>
            <w:r>
              <w:t>I</w:t>
            </w:r>
          </w:p>
        </w:tc>
        <w:tc>
          <w:tcPr>
            <w:tcW w:type="dxa" w:w="397"/>
          </w:tcPr>
          <w:p>
            <w:r>
              <w:t>O</w:t>
            </w:r>
          </w:p>
        </w:tc>
        <w:tc>
          <w:tcPr>
            <w:tcW w:type="dxa" w:w="1928"/>
          </w:tcPr>
          <w:p>
            <w:r>
              <w:t>VRIO outcome</w:t>
            </w:r>
          </w:p>
        </w:tc>
        <w:tc>
          <w:tcPr>
            <w:tcW w:type="dxa" w:w="1134"/>
          </w:tcPr>
          <w:p>
            <w:r>
              <w:t>Decision</w:t>
            </w:r>
          </w:p>
        </w:tc>
      </w:tr>
      <w:tr>
        <w:tc>
          <w:tcPr>
            <w:tcW w:type="dxa" w:w="454"/>
          </w:tcPr>
          <w:p>
            <w:r>
              <w:t>1</w:t>
            </w:r>
          </w:p>
        </w:tc>
        <w:tc>
          <w:tcPr>
            <w:tcW w:type="dxa" w:w="4309"/>
          </w:tcPr>
          <w:p>
            <w:r>
              <w:t>Labour cost for plucking and harvesting of Malta</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2</w:t>
            </w:r>
          </w:p>
        </w:tc>
        <w:tc>
          <w:tcPr>
            <w:tcW w:type="dxa" w:w="4309"/>
          </w:tcPr>
          <w:p>
            <w:r>
              <w:t>Cost of baskets / crates used at the orchard</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3</w:t>
            </w:r>
          </w:p>
        </w:tc>
        <w:tc>
          <w:tcPr>
            <w:tcW w:type="dxa" w:w="4309"/>
          </w:tcPr>
          <w:p>
            <w:r>
              <w:t>Cost of grading and on-farm sorting</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4</w:t>
            </w:r>
          </w:p>
        </w:tc>
        <w:tc>
          <w:tcPr>
            <w:tcW w:type="dxa" w:w="4309"/>
          </w:tcPr>
          <w:p>
            <w:r>
              <w:t>Cost of packaging material (cartons, gunny bags, layering)</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5</w:t>
            </w:r>
          </w:p>
        </w:tc>
        <w:tc>
          <w:tcPr>
            <w:tcW w:type="dxa" w:w="4309"/>
          </w:tcPr>
          <w:p>
            <w:r>
              <w:t>Cost of on-farm storage and shed maintenance</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6</w:t>
            </w:r>
          </w:p>
        </w:tc>
        <w:tc>
          <w:tcPr>
            <w:tcW w:type="dxa" w:w="4309"/>
          </w:tcPr>
          <w:p>
            <w:r>
              <w:t>Loading and unloading charges at the farm gate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7</w:t>
            </w:r>
          </w:p>
        </w:tc>
        <w:tc>
          <w:tcPr>
            <w:tcW w:type="dxa" w:w="4309"/>
          </w:tcPr>
          <w:p>
            <w:r>
              <w:t>Local transportation cost from orchard to collection point</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8</w:t>
            </w:r>
          </w:p>
        </w:tc>
        <w:tc>
          <w:tcPr>
            <w:tcW w:type="dxa" w:w="4309"/>
          </w:tcPr>
          <w:p>
            <w:r>
              <w:t>Cost of pesticide and fertiliser applied close to harvest</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9</w:t>
            </w:r>
          </w:p>
        </w:tc>
        <w:tc>
          <w:tcPr>
            <w:tcW w:type="dxa" w:w="4309"/>
          </w:tcPr>
          <w:p>
            <w:r>
              <w:t>Cost of orchard upkeep during the harvesting period</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10</w:t>
            </w:r>
          </w:p>
        </w:tc>
        <w:tc>
          <w:tcPr>
            <w:tcW w:type="dxa" w:w="4309"/>
          </w:tcPr>
          <w:p>
            <w:r>
              <w:t>Cost of training of pluckers and casual labour</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11</w:t>
            </w:r>
          </w:p>
        </w:tc>
        <w:tc>
          <w:tcPr>
            <w:tcW w:type="dxa" w:w="4309"/>
          </w:tcPr>
          <w:p>
            <w:r>
              <w:t>Cost of supervision of on-field operations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12</w:t>
            </w:r>
          </w:p>
        </w:tc>
        <w:tc>
          <w:tcPr>
            <w:tcW w:type="dxa" w:w="4309"/>
          </w:tcPr>
          <w:p>
            <w:r>
              <w:t>Replacement cost of broken or damaged crates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13</w:t>
            </w:r>
          </w:p>
        </w:tc>
        <w:tc>
          <w:tcPr>
            <w:tcW w:type="dxa" w:w="4309"/>
          </w:tcPr>
          <w:p>
            <w:r>
              <w:t>Time taken in actual plucking / harvesting of fruits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14</w:t>
            </w:r>
          </w:p>
        </w:tc>
        <w:tc>
          <w:tcPr>
            <w:tcW w:type="dxa" w:w="4309"/>
          </w:tcPr>
          <w:p>
            <w:r>
              <w:t>Time spent in sorting and grading at orchard</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15</w:t>
            </w:r>
          </w:p>
        </w:tc>
        <w:tc>
          <w:tcPr>
            <w:tcW w:type="dxa" w:w="4309"/>
          </w:tcPr>
          <w:p>
            <w:r>
              <w:t>Time consumed in packaging and tying of cartons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16</w:t>
            </w:r>
          </w:p>
        </w:tc>
        <w:tc>
          <w:tcPr>
            <w:tcW w:type="dxa" w:w="4309"/>
          </w:tcPr>
          <w:p>
            <w:r>
              <w:t>Waiting time for pick-up / transport at the farm gate</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17</w:t>
            </w:r>
          </w:p>
        </w:tc>
        <w:tc>
          <w:tcPr>
            <w:tcW w:type="dxa" w:w="4309"/>
          </w:tcPr>
          <w:p>
            <w:r>
              <w:t>Loading time at the farm gate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18</w:t>
            </w:r>
          </w:p>
        </w:tc>
        <w:tc>
          <w:tcPr>
            <w:tcW w:type="dxa" w:w="4309"/>
          </w:tcPr>
          <w:p>
            <w:r>
              <w:t>Transit time from farm to local market</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19</w:t>
            </w:r>
          </w:p>
        </w:tc>
        <w:tc>
          <w:tcPr>
            <w:tcW w:type="dxa" w:w="4309"/>
          </w:tcPr>
          <w:p>
            <w:r>
              <w:t>Time used in pre-harvest field inspection</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20</w:t>
            </w:r>
          </w:p>
        </w:tc>
        <w:tc>
          <w:tcPr>
            <w:tcW w:type="dxa" w:w="4309"/>
          </w:tcPr>
          <w:p>
            <w:r>
              <w:t>Time spent in assembling daily labour each morning</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21</w:t>
            </w:r>
          </w:p>
        </w:tc>
        <w:tc>
          <w:tcPr>
            <w:tcW w:type="dxa" w:w="4309"/>
          </w:tcPr>
          <w:p>
            <w:r>
              <w:t>Time taken to procure packaging material from town</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22</w:t>
            </w:r>
          </w:p>
        </w:tc>
        <w:tc>
          <w:tcPr>
            <w:tcW w:type="dxa" w:w="4309"/>
          </w:tcPr>
          <w:p>
            <w:r>
              <w:t>Idle time at the collection point during peak hours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23</w:t>
            </w:r>
          </w:p>
        </w:tc>
        <w:tc>
          <w:tcPr>
            <w:tcW w:type="dxa" w:w="4309"/>
          </w:tcPr>
          <w:p>
            <w:r>
              <w:t>Impact of harvesting method on fruit quality</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24</w:t>
            </w:r>
          </w:p>
        </w:tc>
        <w:tc>
          <w:tcPr>
            <w:tcW w:type="dxa" w:w="4309"/>
          </w:tcPr>
          <w:p>
            <w:r>
              <w:t>Handling care during plucking and collection</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25</w:t>
            </w:r>
          </w:p>
        </w:tc>
        <w:tc>
          <w:tcPr>
            <w:tcW w:type="dxa" w:w="4309"/>
          </w:tcPr>
          <w:p>
            <w:r>
              <w:t>Accuracy of grading at orchard level</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26</w:t>
            </w:r>
          </w:p>
        </w:tc>
        <w:tc>
          <w:tcPr>
            <w:tcW w:type="dxa" w:w="4309"/>
          </w:tcPr>
          <w:p>
            <w:r>
              <w:t>Quality of packaging used at farm gate</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27</w:t>
            </w:r>
          </w:p>
        </w:tc>
        <w:tc>
          <w:tcPr>
            <w:tcW w:type="dxa" w:w="4309"/>
          </w:tcPr>
          <w:p>
            <w:r>
              <w:t>Storage temperature control at orchard / collection shed</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28</w:t>
            </w:r>
          </w:p>
        </w:tc>
        <w:tc>
          <w:tcPr>
            <w:tcW w:type="dxa" w:w="4309"/>
          </w:tcPr>
          <w:p>
            <w:r>
              <w:t>Handling quality during transit from farm</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29</w:t>
            </w:r>
          </w:p>
        </w:tc>
        <w:tc>
          <w:tcPr>
            <w:tcW w:type="dxa" w:w="4309"/>
          </w:tcPr>
          <w:p>
            <w:r>
              <w:t>Maturity stage of fruit at the time of plucking</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Eliminated</w:t>
            </w:r>
          </w:p>
        </w:tc>
      </w:tr>
      <w:tr>
        <w:tc>
          <w:tcPr>
            <w:tcW w:type="dxa" w:w="454"/>
          </w:tcPr>
          <w:p>
            <w:r>
              <w:t>30</w:t>
            </w:r>
          </w:p>
        </w:tc>
        <w:tc>
          <w:tcPr>
            <w:tcW w:type="dxa" w:w="4309"/>
          </w:tcPr>
          <w:p>
            <w:r>
              <w:t>Cleanliness of crates used at collection point</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31</w:t>
            </w:r>
          </w:p>
        </w:tc>
        <w:tc>
          <w:tcPr>
            <w:tcW w:type="dxa" w:w="4309"/>
          </w:tcPr>
          <w:p>
            <w:r>
              <w:t>Effect of weather during harvest on shelf life</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Eliminated</w:t>
            </w:r>
          </w:p>
        </w:tc>
      </w:tr>
      <w:tr>
        <w:tc>
          <w:tcPr>
            <w:tcW w:type="dxa" w:w="454"/>
          </w:tcPr>
          <w:p>
            <w:r>
              <w:t>32</w:t>
            </w:r>
          </w:p>
        </w:tc>
        <w:tc>
          <w:tcPr>
            <w:tcW w:type="dxa" w:w="4309"/>
          </w:tcPr>
          <w:p>
            <w:r>
              <w:t>Adequacy of natural shade at on-farm storage</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bl>
    <w:p>
      <w:r>
        <w:rPr>
          <w:b/>
        </w:rPr>
        <w:t>Local Trader stage  (29 factors)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54"/>
          </w:tcPr>
          <w:p>
            <w:r>
              <w:t>#</w:t>
            </w:r>
          </w:p>
        </w:tc>
        <w:tc>
          <w:tcPr>
            <w:tcW w:type="dxa" w:w="4309"/>
          </w:tcPr>
          <w:p>
            <w:r>
              <w:t>Factor</w:t>
            </w:r>
          </w:p>
        </w:tc>
        <w:tc>
          <w:tcPr>
            <w:tcW w:type="dxa" w:w="397"/>
          </w:tcPr>
          <w:p>
            <w:r>
              <w:t>V</w:t>
            </w:r>
          </w:p>
        </w:tc>
        <w:tc>
          <w:tcPr>
            <w:tcW w:type="dxa" w:w="397"/>
          </w:tcPr>
          <w:p>
            <w:r>
              <w:t>R</w:t>
            </w:r>
          </w:p>
        </w:tc>
        <w:tc>
          <w:tcPr>
            <w:tcW w:type="dxa" w:w="397"/>
          </w:tcPr>
          <w:p>
            <w:r>
              <w:t>I</w:t>
            </w:r>
          </w:p>
        </w:tc>
        <w:tc>
          <w:tcPr>
            <w:tcW w:type="dxa" w:w="397"/>
          </w:tcPr>
          <w:p>
            <w:r>
              <w:t>O</w:t>
            </w:r>
          </w:p>
        </w:tc>
        <w:tc>
          <w:tcPr>
            <w:tcW w:type="dxa" w:w="1928"/>
          </w:tcPr>
          <w:p>
            <w:r>
              <w:t>VRIO outcome</w:t>
            </w:r>
          </w:p>
        </w:tc>
        <w:tc>
          <w:tcPr>
            <w:tcW w:type="dxa" w:w="1134"/>
          </w:tcPr>
          <w:p>
            <w:r>
              <w:t>Decision</w:t>
            </w:r>
          </w:p>
        </w:tc>
      </w:tr>
      <w:tr>
        <w:tc>
          <w:tcPr>
            <w:tcW w:type="dxa" w:w="454"/>
          </w:tcPr>
          <w:p>
            <w:r>
              <w:t>1</w:t>
            </w:r>
          </w:p>
        </w:tc>
        <w:tc>
          <w:tcPr>
            <w:tcW w:type="dxa" w:w="4309"/>
          </w:tcPr>
          <w:p>
            <w:r>
              <w:t>Purchase price paid to farmers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2</w:t>
            </w:r>
          </w:p>
        </w:tc>
        <w:tc>
          <w:tcPr>
            <w:tcW w:type="dxa" w:w="4309"/>
          </w:tcPr>
          <w:p>
            <w:r>
              <w:t>Transportation to trader's premises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3</w:t>
            </w:r>
          </w:p>
        </w:tc>
        <w:tc>
          <w:tcPr>
            <w:tcW w:type="dxa" w:w="4309"/>
          </w:tcPr>
          <w:p>
            <w:r>
              <w:t>Storage and handling charges at trader's godown</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4</w:t>
            </w:r>
          </w:p>
        </w:tc>
        <w:tc>
          <w:tcPr>
            <w:tcW w:type="dxa" w:w="4309"/>
          </w:tcPr>
          <w:p>
            <w:r>
              <w:t>Re-grading and re-packaging cost at trader level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5</w:t>
            </w:r>
          </w:p>
        </w:tc>
        <w:tc>
          <w:tcPr>
            <w:tcW w:type="dxa" w:w="4309"/>
          </w:tcPr>
          <w:p>
            <w:r>
              <w:t>Commission and agency charges payable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6</w:t>
            </w:r>
          </w:p>
        </w:tc>
        <w:tc>
          <w:tcPr>
            <w:tcW w:type="dxa" w:w="4309"/>
          </w:tcPr>
          <w:p>
            <w:r>
              <w:t>Loading and onward transport cost to mandi</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7</w:t>
            </w:r>
          </w:p>
        </w:tc>
        <w:tc>
          <w:tcPr>
            <w:tcW w:type="dxa" w:w="4309"/>
          </w:tcPr>
          <w:p>
            <w:r>
              <w:t>Cost of advances given to farmers ahead of season</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8</w:t>
            </w:r>
          </w:p>
        </w:tc>
        <w:tc>
          <w:tcPr>
            <w:tcW w:type="dxa" w:w="4309"/>
          </w:tcPr>
          <w:p>
            <w:r>
              <w:t>Cost of maintaining a local godown / collection shed</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9</w:t>
            </w:r>
          </w:p>
        </w:tc>
        <w:tc>
          <w:tcPr>
            <w:tcW w:type="dxa" w:w="4309"/>
          </w:tcPr>
          <w:p>
            <w:r>
              <w:t>Cost of bookkeeping and basic record keeping</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10</w:t>
            </w:r>
          </w:p>
        </w:tc>
        <w:tc>
          <w:tcPr>
            <w:tcW w:type="dxa" w:w="4309"/>
          </w:tcPr>
          <w:p>
            <w:r>
              <w:t>Cost of refreshments and hospitality for visiting farmers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11</w:t>
            </w:r>
          </w:p>
        </w:tc>
        <w:tc>
          <w:tcPr>
            <w:tcW w:type="dxa" w:w="4309"/>
          </w:tcPr>
          <w:p>
            <w:r>
              <w:t>Cost of damage compensation paid to farmers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12</w:t>
            </w:r>
          </w:p>
        </w:tc>
        <w:tc>
          <w:tcPr>
            <w:tcW w:type="dxa" w:w="4309"/>
          </w:tcPr>
          <w:p>
            <w:r>
              <w:t>Time taken to collect produce from multiple farmers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13</w:t>
            </w:r>
          </w:p>
        </w:tc>
        <w:tc>
          <w:tcPr>
            <w:tcW w:type="dxa" w:w="4309"/>
          </w:tcPr>
          <w:p>
            <w:r>
              <w:t>Time spent in quality inspection by the trader</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14</w:t>
            </w:r>
          </w:p>
        </w:tc>
        <w:tc>
          <w:tcPr>
            <w:tcW w:type="dxa" w:w="4309"/>
          </w:tcPr>
          <w:p>
            <w:r>
              <w:t>Time taken in re-sorting at trader level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15</w:t>
            </w:r>
          </w:p>
        </w:tc>
        <w:tc>
          <w:tcPr>
            <w:tcW w:type="dxa" w:w="4309"/>
          </w:tcPr>
          <w:p>
            <w:r>
              <w:t>Storage duration at trader's premises</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16</w:t>
            </w:r>
          </w:p>
        </w:tc>
        <w:tc>
          <w:tcPr>
            <w:tcW w:type="dxa" w:w="4309"/>
          </w:tcPr>
          <w:p>
            <w:r>
              <w:t>Waiting time for onward transport to mandi</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17</w:t>
            </w:r>
          </w:p>
        </w:tc>
        <w:tc>
          <w:tcPr>
            <w:tcW w:type="dxa" w:w="4309"/>
          </w:tcPr>
          <w:p>
            <w:r>
              <w:t>Time spent in price negotiation with farmers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18</w:t>
            </w:r>
          </w:p>
        </w:tc>
        <w:tc>
          <w:tcPr>
            <w:tcW w:type="dxa" w:w="4309"/>
          </w:tcPr>
          <w:p>
            <w:r>
              <w:t>Time used for daily reconciliation of weights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19</w:t>
            </w:r>
          </w:p>
        </w:tc>
        <w:tc>
          <w:tcPr>
            <w:tcW w:type="dxa" w:w="4309"/>
          </w:tcPr>
          <w:p>
            <w:r>
              <w:t>Time taken in arranging vehicles during peak season</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20</w:t>
            </w:r>
          </w:p>
        </w:tc>
        <w:tc>
          <w:tcPr>
            <w:tcW w:type="dxa" w:w="4309"/>
          </w:tcPr>
          <w:p>
            <w:r>
              <w:t>Time consumed in coordinating with mandi commission agents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21</w:t>
            </w:r>
          </w:p>
        </w:tc>
        <w:tc>
          <w:tcPr>
            <w:tcW w:type="dxa" w:w="4309"/>
          </w:tcPr>
          <w:p>
            <w:r>
              <w:t>Initial quality assessment by the trader</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22</w:t>
            </w:r>
          </w:p>
        </w:tc>
        <w:tc>
          <w:tcPr>
            <w:tcW w:type="dxa" w:w="4309"/>
          </w:tcPr>
          <w:p>
            <w:r>
              <w:t>Maintenance of storage condition at trader's place</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23</w:t>
            </w:r>
          </w:p>
        </w:tc>
        <w:tc>
          <w:tcPr>
            <w:tcW w:type="dxa" w:w="4309"/>
          </w:tcPr>
          <w:p>
            <w:r>
              <w:t>Handling care during re-grading</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24</w:t>
            </w:r>
          </w:p>
        </w:tc>
        <w:tc>
          <w:tcPr>
            <w:tcW w:type="dxa" w:w="4309"/>
          </w:tcPr>
          <w:p>
            <w:r>
              <w:t>Packaging quality control after re-packing</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25</w:t>
            </w:r>
          </w:p>
        </w:tc>
        <w:tc>
          <w:tcPr>
            <w:tcW w:type="dxa" w:w="4309"/>
          </w:tcPr>
          <w:p>
            <w:r>
              <w:t>Transit quality management from trader to mandi</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26</w:t>
            </w:r>
          </w:p>
        </w:tc>
        <w:tc>
          <w:tcPr>
            <w:tcW w:type="dxa" w:w="4309"/>
          </w:tcPr>
          <w:p>
            <w:r>
              <w:t>Mixing of grades during re-packaging</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27</w:t>
            </w:r>
          </w:p>
        </w:tc>
        <w:tc>
          <w:tcPr>
            <w:tcW w:type="dxa" w:w="4309"/>
          </w:tcPr>
          <w:p>
            <w:r>
              <w:t>Exposure to direct sunlight at trader's premises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28</w:t>
            </w:r>
          </w:p>
        </w:tc>
        <w:tc>
          <w:tcPr>
            <w:tcW w:type="dxa" w:w="4309"/>
          </w:tcPr>
          <w:p>
            <w:r>
              <w:t>Quality loss due to repeated weighing</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29</w:t>
            </w:r>
          </w:p>
        </w:tc>
        <w:tc>
          <w:tcPr>
            <w:tcW w:type="dxa" w:w="4309"/>
          </w:tcPr>
          <w:p>
            <w:r>
              <w:t>Inconsistency in grading judgement across staff</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bl>
    <w:p>
      <w:r>
        <w:rPr>
          <w:b/>
        </w:rPr>
        <w:t>Wholesale / Mandi stage  (28 factors)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54"/>
          </w:tcPr>
          <w:p>
            <w:r>
              <w:t>#</w:t>
            </w:r>
          </w:p>
        </w:tc>
        <w:tc>
          <w:tcPr>
            <w:tcW w:type="dxa" w:w="4309"/>
          </w:tcPr>
          <w:p>
            <w:r>
              <w:t>Factor</w:t>
            </w:r>
          </w:p>
        </w:tc>
        <w:tc>
          <w:tcPr>
            <w:tcW w:type="dxa" w:w="397"/>
          </w:tcPr>
          <w:p>
            <w:r>
              <w:t>V</w:t>
            </w:r>
          </w:p>
        </w:tc>
        <w:tc>
          <w:tcPr>
            <w:tcW w:type="dxa" w:w="397"/>
          </w:tcPr>
          <w:p>
            <w:r>
              <w:t>R</w:t>
            </w:r>
          </w:p>
        </w:tc>
        <w:tc>
          <w:tcPr>
            <w:tcW w:type="dxa" w:w="397"/>
          </w:tcPr>
          <w:p>
            <w:r>
              <w:t>I</w:t>
            </w:r>
          </w:p>
        </w:tc>
        <w:tc>
          <w:tcPr>
            <w:tcW w:type="dxa" w:w="397"/>
          </w:tcPr>
          <w:p>
            <w:r>
              <w:t>O</w:t>
            </w:r>
          </w:p>
        </w:tc>
        <w:tc>
          <w:tcPr>
            <w:tcW w:type="dxa" w:w="1928"/>
          </w:tcPr>
          <w:p>
            <w:r>
              <w:t>VRIO outcome</w:t>
            </w:r>
          </w:p>
        </w:tc>
        <w:tc>
          <w:tcPr>
            <w:tcW w:type="dxa" w:w="1134"/>
          </w:tcPr>
          <w:p>
            <w:r>
              <w:t>Decision</w:t>
            </w:r>
          </w:p>
        </w:tc>
      </w:tr>
      <w:tr>
        <w:tc>
          <w:tcPr>
            <w:tcW w:type="dxa" w:w="454"/>
          </w:tcPr>
          <w:p>
            <w:r>
              <w:t>1</w:t>
            </w:r>
          </w:p>
        </w:tc>
        <w:tc>
          <w:tcPr>
            <w:tcW w:type="dxa" w:w="4309"/>
          </w:tcPr>
          <w:p>
            <w:r>
              <w:t>Mandi entry fee / gate fee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2</w:t>
            </w:r>
          </w:p>
        </w:tc>
        <w:tc>
          <w:tcPr>
            <w:tcW w:type="dxa" w:w="4309"/>
          </w:tcPr>
          <w:p>
            <w:r>
              <w:t>Weighing charges at mandi platform</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3</w:t>
            </w:r>
          </w:p>
        </w:tc>
        <w:tc>
          <w:tcPr>
            <w:tcW w:type="dxa" w:w="4309"/>
          </w:tcPr>
          <w:p>
            <w:r>
              <w:t>Storage rent at mandi premises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4</w:t>
            </w:r>
          </w:p>
        </w:tc>
        <w:tc>
          <w:tcPr>
            <w:tcW w:type="dxa" w:w="4309"/>
          </w:tcPr>
          <w:p>
            <w:r>
              <w:t>Commission agent charges (arhatiya commission)</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5</w:t>
            </w:r>
          </w:p>
        </w:tc>
        <w:tc>
          <w:tcPr>
            <w:tcW w:type="dxa" w:w="4309"/>
          </w:tcPr>
          <w:p>
            <w:r>
              <w:t>Loading and unloading labour cost at mandi</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6</w:t>
            </w:r>
          </w:p>
        </w:tc>
        <w:tc>
          <w:tcPr>
            <w:tcW w:type="dxa" w:w="4309"/>
          </w:tcPr>
          <w:p>
            <w:r>
              <w:t>Cost of onward transportation to retailer</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7</w:t>
            </w:r>
          </w:p>
        </w:tc>
        <w:tc>
          <w:tcPr>
            <w:tcW w:type="dxa" w:w="4309"/>
          </w:tcPr>
          <w:p>
            <w:r>
              <w:t>Cost of mandi licence renewal</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8</w:t>
            </w:r>
          </w:p>
        </w:tc>
        <w:tc>
          <w:tcPr>
            <w:tcW w:type="dxa" w:w="4309"/>
          </w:tcPr>
          <w:p>
            <w:r>
              <w:t>Cost of mandatory market fee / cess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9</w:t>
            </w:r>
          </w:p>
        </w:tc>
        <w:tc>
          <w:tcPr>
            <w:tcW w:type="dxa" w:w="4309"/>
          </w:tcPr>
          <w:p>
            <w:r>
              <w:t>Cost of arbitration in case of disputes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10</w:t>
            </w:r>
          </w:p>
        </w:tc>
        <w:tc>
          <w:tcPr>
            <w:tcW w:type="dxa" w:w="4309"/>
          </w:tcPr>
          <w:p>
            <w:r>
              <w:t>Cost of waste disposal at mandi premises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11</w:t>
            </w:r>
          </w:p>
        </w:tc>
        <w:tc>
          <w:tcPr>
            <w:tcW w:type="dxa" w:w="4309"/>
          </w:tcPr>
          <w:p>
            <w:r>
              <w:t>Unloading and entry-gate time at mandi</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12</w:t>
            </w:r>
          </w:p>
        </w:tc>
        <w:tc>
          <w:tcPr>
            <w:tcW w:type="dxa" w:w="4309"/>
          </w:tcPr>
          <w:p>
            <w:r>
              <w:t>Waiting time before auction begins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13</w:t>
            </w:r>
          </w:p>
        </w:tc>
        <w:tc>
          <w:tcPr>
            <w:tcW w:type="dxa" w:w="4309"/>
          </w:tcPr>
          <w:p>
            <w:r>
              <w:t>Auction duration at mandi</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14</w:t>
            </w:r>
          </w:p>
        </w:tc>
        <w:tc>
          <w:tcPr>
            <w:tcW w:type="dxa" w:w="4309"/>
          </w:tcPr>
          <w:p>
            <w:r>
              <w:t>Payment settlement / cash release time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15</w:t>
            </w:r>
          </w:p>
        </w:tc>
        <w:tc>
          <w:tcPr>
            <w:tcW w:type="dxa" w:w="4309"/>
          </w:tcPr>
          <w:p>
            <w:r>
              <w:t>Loading time for outbound dispatch</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16</w:t>
            </w:r>
          </w:p>
        </w:tc>
        <w:tc>
          <w:tcPr>
            <w:tcW w:type="dxa" w:w="4309"/>
          </w:tcPr>
          <w:p>
            <w:r>
              <w:t>Time spent in queue at mandi gate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17</w:t>
            </w:r>
          </w:p>
        </w:tc>
        <w:tc>
          <w:tcPr>
            <w:tcW w:type="dxa" w:w="4309"/>
          </w:tcPr>
          <w:p>
            <w:r>
              <w:t>Time consumed in obtaining gate-pass and entry slip</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18</w:t>
            </w:r>
          </w:p>
        </w:tc>
        <w:tc>
          <w:tcPr>
            <w:tcW w:type="dxa" w:w="4309"/>
          </w:tcPr>
          <w:p>
            <w:r>
              <w:t>Time required for re-weighing on buyer's request</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19</w:t>
            </w:r>
          </w:p>
        </w:tc>
        <w:tc>
          <w:tcPr>
            <w:tcW w:type="dxa" w:w="4309"/>
          </w:tcPr>
          <w:p>
            <w:r>
              <w:t>Time used in coordinating with multiple buyers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20</w:t>
            </w:r>
          </w:p>
        </w:tc>
        <w:tc>
          <w:tcPr>
            <w:tcW w:type="dxa" w:w="4309"/>
          </w:tcPr>
          <w:p>
            <w:r>
              <w:t>Quality inspection at mandi entry</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21</w:t>
            </w:r>
          </w:p>
        </w:tc>
        <w:tc>
          <w:tcPr>
            <w:tcW w:type="dxa" w:w="4309"/>
          </w:tcPr>
          <w:p>
            <w:r>
              <w:t>Storage conditions inside the mandi shed</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22</w:t>
            </w:r>
          </w:p>
        </w:tc>
        <w:tc>
          <w:tcPr>
            <w:tcW w:type="dxa" w:w="4309"/>
          </w:tcPr>
          <w:p>
            <w:r>
              <w:t>Handling care during the auction process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Retained</w:t>
            </w:r>
          </w:p>
        </w:tc>
      </w:tr>
      <w:tr>
        <w:tc>
          <w:tcPr>
            <w:tcW w:type="dxa" w:w="454"/>
          </w:tcPr>
          <w:p>
            <w:r>
              <w:t>23</w:t>
            </w:r>
          </w:p>
        </w:tc>
        <w:tc>
          <w:tcPr>
            <w:tcW w:type="dxa" w:w="4309"/>
          </w:tcPr>
          <w:p>
            <w:r>
              <w:t>Verification of grading by buyer</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24</w:t>
            </w:r>
          </w:p>
        </w:tc>
        <w:tc>
          <w:tcPr>
            <w:tcW w:type="dxa" w:w="4309"/>
          </w:tcPr>
          <w:p>
            <w:r>
              <w:t>Post-auction handling and re-stacking</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25</w:t>
            </w:r>
          </w:p>
        </w:tc>
        <w:tc>
          <w:tcPr>
            <w:tcW w:type="dxa" w:w="4309"/>
          </w:tcPr>
          <w:p>
            <w:r>
              <w:t>Mixing of stock from different consignments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26</w:t>
            </w:r>
          </w:p>
        </w:tc>
        <w:tc>
          <w:tcPr>
            <w:tcW w:type="dxa" w:w="4309"/>
          </w:tcPr>
          <w:p>
            <w:r>
              <w:t>Hygiene level of mandi floor</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27</w:t>
            </w:r>
          </w:p>
        </w:tc>
        <w:tc>
          <w:tcPr>
            <w:tcW w:type="dxa" w:w="4309"/>
          </w:tcPr>
          <w:p>
            <w:r>
              <w:t>Pest and insect exposure inside mandi sheds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28</w:t>
            </w:r>
          </w:p>
        </w:tc>
        <w:tc>
          <w:tcPr>
            <w:tcW w:type="dxa" w:w="4309"/>
          </w:tcPr>
          <w:p>
            <w:r>
              <w:t>Damage caused by stacking pressure during peak inflow</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bl>
    <w:p>
      <w:r>
        <w:rPr>
          <w:b/>
        </w:rPr>
        <w:t>Retailer stage  (25 factors)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54"/>
          </w:tcPr>
          <w:p>
            <w:r>
              <w:t>#</w:t>
            </w:r>
          </w:p>
        </w:tc>
        <w:tc>
          <w:tcPr>
            <w:tcW w:type="dxa" w:w="4309"/>
          </w:tcPr>
          <w:p>
            <w:r>
              <w:t>Factor</w:t>
            </w:r>
          </w:p>
        </w:tc>
        <w:tc>
          <w:tcPr>
            <w:tcW w:type="dxa" w:w="397"/>
          </w:tcPr>
          <w:p>
            <w:r>
              <w:t>V</w:t>
            </w:r>
          </w:p>
        </w:tc>
        <w:tc>
          <w:tcPr>
            <w:tcW w:type="dxa" w:w="397"/>
          </w:tcPr>
          <w:p>
            <w:r>
              <w:t>R</w:t>
            </w:r>
          </w:p>
        </w:tc>
        <w:tc>
          <w:tcPr>
            <w:tcW w:type="dxa" w:w="397"/>
          </w:tcPr>
          <w:p>
            <w:r>
              <w:t>I</w:t>
            </w:r>
          </w:p>
        </w:tc>
        <w:tc>
          <w:tcPr>
            <w:tcW w:type="dxa" w:w="397"/>
          </w:tcPr>
          <w:p>
            <w:r>
              <w:t>O</w:t>
            </w:r>
          </w:p>
        </w:tc>
        <w:tc>
          <w:tcPr>
            <w:tcW w:type="dxa" w:w="1928"/>
          </w:tcPr>
          <w:p>
            <w:r>
              <w:t>VRIO outcome</w:t>
            </w:r>
          </w:p>
        </w:tc>
        <w:tc>
          <w:tcPr>
            <w:tcW w:type="dxa" w:w="1134"/>
          </w:tcPr>
          <w:p>
            <w:r>
              <w:t>Decision</w:t>
            </w:r>
          </w:p>
        </w:tc>
      </w:tr>
      <w:tr>
        <w:tc>
          <w:tcPr>
            <w:tcW w:type="dxa" w:w="454"/>
          </w:tcPr>
          <w:p>
            <w:r>
              <w:t>1</w:t>
            </w:r>
          </w:p>
        </w:tc>
        <w:tc>
          <w:tcPr>
            <w:tcW w:type="dxa" w:w="4309"/>
          </w:tcPr>
          <w:p>
            <w:r>
              <w:t>Purchase cost from mandi / wholesaler</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2</w:t>
            </w:r>
          </w:p>
        </w:tc>
        <w:tc>
          <w:tcPr>
            <w:tcW w:type="dxa" w:w="4309"/>
          </w:tcPr>
          <w:p>
            <w:r>
              <w:t>Transportation cost from mandi to retail outlet</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3</w:t>
            </w:r>
          </w:p>
        </w:tc>
        <w:tc>
          <w:tcPr>
            <w:tcW w:type="dxa" w:w="4309"/>
          </w:tcPr>
          <w:p>
            <w:r>
              <w:t>Storage and display cost at retail level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4</w:t>
            </w:r>
          </w:p>
        </w:tc>
        <w:tc>
          <w:tcPr>
            <w:tcW w:type="dxa" w:w="4309"/>
          </w:tcPr>
          <w:p>
            <w:r>
              <w:t>Wastage and spoilage cost at retail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5</w:t>
            </w:r>
          </w:p>
        </w:tc>
        <w:tc>
          <w:tcPr>
            <w:tcW w:type="dxa" w:w="4309"/>
          </w:tcPr>
          <w:p>
            <w:r>
              <w:t>Retail space rent or daily pitch fee</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6</w:t>
            </w:r>
          </w:p>
        </w:tc>
        <w:tc>
          <w:tcPr>
            <w:tcW w:type="dxa" w:w="4309"/>
          </w:tcPr>
          <w:p>
            <w:r>
              <w:t>Handling and labour cost at the shop</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7</w:t>
            </w:r>
          </w:p>
        </w:tc>
        <w:tc>
          <w:tcPr>
            <w:tcW w:type="dxa" w:w="4309"/>
          </w:tcPr>
          <w:p>
            <w:r>
              <w:t>Cost of carry bags and small packing material</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8</w:t>
            </w:r>
          </w:p>
        </w:tc>
        <w:tc>
          <w:tcPr>
            <w:tcW w:type="dxa" w:w="4309"/>
          </w:tcPr>
          <w:p>
            <w:r>
              <w:t>Cost of street vendor / municipal levies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9</w:t>
            </w:r>
          </w:p>
        </w:tc>
        <w:tc>
          <w:tcPr>
            <w:tcW w:type="dxa" w:w="4309"/>
          </w:tcPr>
          <w:p>
            <w:r>
              <w:t>Cost of price-tags and small signage</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10</w:t>
            </w:r>
          </w:p>
        </w:tc>
        <w:tc>
          <w:tcPr>
            <w:tcW w:type="dxa" w:w="4309"/>
          </w:tcPr>
          <w:p>
            <w:r>
              <w:t>Cost of weighing scale calibration</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11</w:t>
            </w:r>
          </w:p>
        </w:tc>
        <w:tc>
          <w:tcPr>
            <w:tcW w:type="dxa" w:w="4309"/>
          </w:tcPr>
          <w:p>
            <w:r>
              <w:t>Time spent in procurement from wholesaler / mandi</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12</w:t>
            </w:r>
          </w:p>
        </w:tc>
        <w:tc>
          <w:tcPr>
            <w:tcW w:type="dxa" w:w="4309"/>
          </w:tcPr>
          <w:p>
            <w:r>
              <w:t>Time taken in arranging the display</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13</w:t>
            </w:r>
          </w:p>
        </w:tc>
        <w:tc>
          <w:tcPr>
            <w:tcW w:type="dxa" w:w="4309"/>
          </w:tcPr>
          <w:p>
            <w:r>
              <w:t>Time spent in attending customers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14</w:t>
            </w:r>
          </w:p>
        </w:tc>
        <w:tc>
          <w:tcPr>
            <w:tcW w:type="dxa" w:w="4309"/>
          </w:tcPr>
          <w:p>
            <w:r>
              <w:t>Inventory turnover time at retail level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15</w:t>
            </w:r>
          </w:p>
        </w:tc>
        <w:tc>
          <w:tcPr>
            <w:tcW w:type="dxa" w:w="4309"/>
          </w:tcPr>
          <w:p>
            <w:r>
              <w:t>Time spent in daily price discovery</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16</w:t>
            </w:r>
          </w:p>
        </w:tc>
        <w:tc>
          <w:tcPr>
            <w:tcW w:type="dxa" w:w="4309"/>
          </w:tcPr>
          <w:p>
            <w:r>
              <w:t>Time used in segregating overripe fruits each morning</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17</w:t>
            </w:r>
          </w:p>
        </w:tc>
        <w:tc>
          <w:tcPr>
            <w:tcW w:type="dxa" w:w="4309"/>
          </w:tcPr>
          <w:p>
            <w:r>
              <w:t>Time taken in cash settlement at end of day</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18</w:t>
            </w:r>
          </w:p>
        </w:tc>
        <w:tc>
          <w:tcPr>
            <w:tcW w:type="dxa" w:w="4309"/>
          </w:tcPr>
          <w:p>
            <w:r>
              <w:t>Quality check at the time of purchase from mandi</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19</w:t>
            </w:r>
          </w:p>
        </w:tc>
        <w:tc>
          <w:tcPr>
            <w:tcW w:type="dxa" w:w="4309"/>
          </w:tcPr>
          <w:p>
            <w:r>
              <w:t>Quality of storage and display at retail</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20</w:t>
            </w:r>
          </w:p>
        </w:tc>
        <w:tc>
          <w:tcPr>
            <w:tcW w:type="dxa" w:w="4309"/>
          </w:tcPr>
          <w:p>
            <w:r>
              <w:t>Maintenance of freshness through the day</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21</w:t>
            </w:r>
          </w:p>
        </w:tc>
        <w:tc>
          <w:tcPr>
            <w:tcW w:type="dxa" w:w="4309"/>
          </w:tcPr>
          <w:p>
            <w:r>
              <w:t>Customer perception of fruit quality</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22</w:t>
            </w:r>
          </w:p>
        </w:tc>
        <w:tc>
          <w:tcPr>
            <w:tcW w:type="dxa" w:w="4309"/>
          </w:tcPr>
          <w:p>
            <w:r>
              <w:t>Quality reflected in post-sale customer feedback</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23</w:t>
            </w:r>
          </w:p>
        </w:tc>
        <w:tc>
          <w:tcPr>
            <w:tcW w:type="dxa" w:w="4309"/>
          </w:tcPr>
          <w:p>
            <w:r>
              <w:t>Direct exposure of fruit to sunlight at the shop</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24</w:t>
            </w:r>
          </w:p>
        </w:tc>
        <w:tc>
          <w:tcPr>
            <w:tcW w:type="dxa" w:w="4309"/>
          </w:tcPr>
          <w:p>
            <w:r>
              <w:t>Effect of dust and pollution on display fruits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25</w:t>
            </w:r>
          </w:p>
        </w:tc>
        <w:tc>
          <w:tcPr>
            <w:tcW w:type="dxa" w:w="4309"/>
          </w:tcPr>
          <w:p>
            <w:r>
              <w:t>Quality damage due to repeated handling by customers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bl>
    <w:p>
      <w:r>
        <w:rPr>
          <w:b/>
        </w:rPr>
        <w:t>Transportation stage  (30 factors)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54"/>
          </w:tcPr>
          <w:p>
            <w:r>
              <w:t>#</w:t>
            </w:r>
          </w:p>
        </w:tc>
        <w:tc>
          <w:tcPr>
            <w:tcW w:type="dxa" w:w="4309"/>
          </w:tcPr>
          <w:p>
            <w:r>
              <w:t>Factor</w:t>
            </w:r>
          </w:p>
        </w:tc>
        <w:tc>
          <w:tcPr>
            <w:tcW w:type="dxa" w:w="397"/>
          </w:tcPr>
          <w:p>
            <w:r>
              <w:t>V</w:t>
            </w:r>
          </w:p>
        </w:tc>
        <w:tc>
          <w:tcPr>
            <w:tcW w:type="dxa" w:w="397"/>
          </w:tcPr>
          <w:p>
            <w:r>
              <w:t>R</w:t>
            </w:r>
          </w:p>
        </w:tc>
        <w:tc>
          <w:tcPr>
            <w:tcW w:type="dxa" w:w="397"/>
          </w:tcPr>
          <w:p>
            <w:r>
              <w:t>I</w:t>
            </w:r>
          </w:p>
        </w:tc>
        <w:tc>
          <w:tcPr>
            <w:tcW w:type="dxa" w:w="397"/>
          </w:tcPr>
          <w:p>
            <w:r>
              <w:t>O</w:t>
            </w:r>
          </w:p>
        </w:tc>
        <w:tc>
          <w:tcPr>
            <w:tcW w:type="dxa" w:w="1928"/>
          </w:tcPr>
          <w:p>
            <w:r>
              <w:t>VRIO outcome</w:t>
            </w:r>
          </w:p>
        </w:tc>
        <w:tc>
          <w:tcPr>
            <w:tcW w:type="dxa" w:w="1134"/>
          </w:tcPr>
          <w:p>
            <w:r>
              <w:t>Decision</w:t>
            </w:r>
          </w:p>
        </w:tc>
      </w:tr>
      <w:tr>
        <w:tc>
          <w:tcPr>
            <w:tcW w:type="dxa" w:w="454"/>
          </w:tcPr>
          <w:p>
            <w:r>
              <w:t>1</w:t>
            </w:r>
          </w:p>
        </w:tc>
        <w:tc>
          <w:tcPr>
            <w:tcW w:type="dxa" w:w="4309"/>
          </w:tcPr>
          <w:p>
            <w:r>
              <w:t>Vehicle hire / ownership cost</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2</w:t>
            </w:r>
          </w:p>
        </w:tc>
        <w:tc>
          <w:tcPr>
            <w:tcW w:type="dxa" w:w="4309"/>
          </w:tcPr>
          <w:p>
            <w:r>
              <w:t>Fuel and routine maintenance cost</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3</w:t>
            </w:r>
          </w:p>
        </w:tc>
        <w:tc>
          <w:tcPr>
            <w:tcW w:type="dxa" w:w="4309"/>
          </w:tcPr>
          <w:p>
            <w:r>
              <w:t>Driver and helper wages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4</w:t>
            </w:r>
          </w:p>
        </w:tc>
        <w:tc>
          <w:tcPr>
            <w:tcW w:type="dxa" w:w="4309"/>
          </w:tcPr>
          <w:p>
            <w:r>
              <w:t>Loading and unloading charges at terminals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5</w:t>
            </w:r>
          </w:p>
        </w:tc>
        <w:tc>
          <w:tcPr>
            <w:tcW w:type="dxa" w:w="4309"/>
          </w:tcPr>
          <w:p>
            <w:r>
              <w:t>Insurance and statutory permit cost</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6</w:t>
            </w:r>
          </w:p>
        </w:tc>
        <w:tc>
          <w:tcPr>
            <w:tcW w:type="dxa" w:w="4309"/>
          </w:tcPr>
          <w:p>
            <w:r>
              <w:t>Toll and route-related charges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7</w:t>
            </w:r>
          </w:p>
        </w:tc>
        <w:tc>
          <w:tcPr>
            <w:tcW w:type="dxa" w:w="4309"/>
          </w:tcPr>
          <w:p>
            <w:r>
              <w:t>Cost of parking at transit points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8</w:t>
            </w:r>
          </w:p>
        </w:tc>
        <w:tc>
          <w:tcPr>
            <w:tcW w:type="dxa" w:w="4309"/>
          </w:tcPr>
          <w:p>
            <w:r>
              <w:t>Cost of detention during long unloading</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9</w:t>
            </w:r>
          </w:p>
        </w:tc>
        <w:tc>
          <w:tcPr>
            <w:tcW w:type="dxa" w:w="4309"/>
          </w:tcPr>
          <w:p>
            <w:r>
              <w:t>Cost of overnight halt for drivers</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Eliminated</w:t>
            </w:r>
          </w:p>
        </w:tc>
      </w:tr>
      <w:tr>
        <w:tc>
          <w:tcPr>
            <w:tcW w:type="dxa" w:w="454"/>
          </w:tcPr>
          <w:p>
            <w:r>
              <w:t>10</w:t>
            </w:r>
          </w:p>
        </w:tc>
        <w:tc>
          <w:tcPr>
            <w:tcW w:type="dxa" w:w="4309"/>
          </w:tcPr>
          <w:p>
            <w:r>
              <w:t>Cost of vehicle cleaning / sanitation</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11</w:t>
            </w:r>
          </w:p>
        </w:tc>
        <w:tc>
          <w:tcPr>
            <w:tcW w:type="dxa" w:w="4309"/>
          </w:tcPr>
          <w:p>
            <w:r>
              <w:t>Cost of GPS and tracking devices</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12</w:t>
            </w:r>
          </w:p>
        </w:tc>
        <w:tc>
          <w:tcPr>
            <w:tcW w:type="dxa" w:w="4309"/>
          </w:tcPr>
          <w:p>
            <w:r>
              <w:t>Vehicle availability time during peak season</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13</w:t>
            </w:r>
          </w:p>
        </w:tc>
        <w:tc>
          <w:tcPr>
            <w:tcW w:type="dxa" w:w="4309"/>
          </w:tcPr>
          <w:p>
            <w:r>
              <w:t>Loading time at the dispatch point</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14</w:t>
            </w:r>
          </w:p>
        </w:tc>
        <w:tc>
          <w:tcPr>
            <w:tcW w:type="dxa" w:w="4309"/>
          </w:tcPr>
          <w:p>
            <w:r>
              <w:t>Transit duration on the route</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15</w:t>
            </w:r>
          </w:p>
        </w:tc>
        <w:tc>
          <w:tcPr>
            <w:tcW w:type="dxa" w:w="4309"/>
          </w:tcPr>
          <w:p>
            <w:r>
              <w:t>Unloading time at the destination</w:t>
            </w:r>
          </w:p>
        </w:tc>
        <w:tc>
          <w:tcPr>
            <w:tcW w:type="dxa" w:w="397"/>
          </w:tcPr>
          <w:p>
            <w:r>
              <w:t>Y</w:t>
            </w:r>
          </w:p>
        </w:tc>
        <w:tc>
          <w:tcPr>
            <w:tcW w:type="dxa" w:w="397"/>
          </w:tcPr>
          <w:p>
            <w:r>
              <w:t>N</w:t>
            </w:r>
          </w:p>
        </w:tc>
        <w:tc>
          <w:tcPr>
            <w:tcW w:type="dxa" w:w="397"/>
          </w:tcPr>
          <w:p>
            <w:r>
              <w:t>N</w:t>
            </w:r>
          </w:p>
        </w:tc>
        <w:tc>
          <w:tcPr>
            <w:tcW w:type="dxa" w:w="397"/>
          </w:tcPr>
          <w:p>
            <w:r>
              <w:t>Y</w:t>
            </w:r>
          </w:p>
        </w:tc>
        <w:tc>
          <w:tcPr>
            <w:tcW w:type="dxa" w:w="1928"/>
          </w:tcPr>
          <w:p>
            <w:r>
              <w:t>Competitive Parity</w:t>
            </w:r>
          </w:p>
        </w:tc>
        <w:tc>
          <w:tcPr>
            <w:tcW w:type="dxa" w:w="1134"/>
          </w:tcPr>
          <w:p>
            <w:r>
              <w:t>Retained</w:t>
            </w:r>
          </w:p>
        </w:tc>
      </w:tr>
      <w:tr>
        <w:tc>
          <w:tcPr>
            <w:tcW w:type="dxa" w:w="454"/>
          </w:tcPr>
          <w:p>
            <w:r>
              <w:t>16</w:t>
            </w:r>
          </w:p>
        </w:tc>
        <w:tc>
          <w:tcPr>
            <w:tcW w:type="dxa" w:w="4309"/>
          </w:tcPr>
          <w:p>
            <w:r>
              <w:t>Return-journey time of the vehicle</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17</w:t>
            </w:r>
          </w:p>
        </w:tc>
        <w:tc>
          <w:tcPr>
            <w:tcW w:type="dxa" w:w="4309"/>
          </w:tcPr>
          <w:p>
            <w:r>
              <w:t>Time lost in landslide / road blockage on hill routes</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Eliminated</w:t>
            </w:r>
          </w:p>
        </w:tc>
      </w:tr>
      <w:tr>
        <w:tc>
          <w:tcPr>
            <w:tcW w:type="dxa" w:w="454"/>
          </w:tcPr>
          <w:p>
            <w:r>
              <w:t>18</w:t>
            </w:r>
          </w:p>
        </w:tc>
        <w:tc>
          <w:tcPr>
            <w:tcW w:type="dxa" w:w="4309"/>
          </w:tcPr>
          <w:p>
            <w:r>
              <w:t>Time spent at check-posts and barriers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19</w:t>
            </w:r>
          </w:p>
        </w:tc>
        <w:tc>
          <w:tcPr>
            <w:tcW w:type="dxa" w:w="4309"/>
          </w:tcPr>
          <w:p>
            <w:r>
              <w:t>Time used in route diversion during monsoon</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Eliminated</w:t>
            </w:r>
          </w:p>
        </w:tc>
      </w:tr>
      <w:tr>
        <w:tc>
          <w:tcPr>
            <w:tcW w:type="dxa" w:w="454"/>
          </w:tcPr>
          <w:p>
            <w:r>
              <w:t>20</w:t>
            </w:r>
          </w:p>
        </w:tc>
        <w:tc>
          <w:tcPr>
            <w:tcW w:type="dxa" w:w="4309"/>
          </w:tcPr>
          <w:p>
            <w:r>
              <w:t>Documentation and gate-pass time</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21</w:t>
            </w:r>
          </w:p>
        </w:tc>
        <w:tc>
          <w:tcPr>
            <w:tcW w:type="dxa" w:w="4309"/>
          </w:tcPr>
          <w:p>
            <w:r>
              <w:t>Driver rest break time during long haul</w:t>
            </w:r>
          </w:p>
        </w:tc>
        <w:tc>
          <w:tcPr>
            <w:tcW w:type="dxa" w:w="397"/>
          </w:tcPr>
          <w:p>
            <w:r>
              <w:t>N</w:t>
            </w:r>
          </w:p>
        </w:tc>
        <w:tc>
          <w:tcPr>
            <w:tcW w:type="dxa" w:w="397"/>
          </w:tcPr>
          <w:p>
            <w:r>
              <w:t>N</w:t>
            </w:r>
          </w:p>
        </w:tc>
        <w:tc>
          <w:tcPr>
            <w:tcW w:type="dxa" w:w="397"/>
          </w:tcPr>
          <w:p>
            <w:r>
              <w:t>N</w:t>
            </w:r>
          </w:p>
        </w:tc>
        <w:tc>
          <w:tcPr>
            <w:tcW w:type="dxa" w:w="397"/>
          </w:tcPr>
          <w:p>
            <w:r>
              <w:t>N</w:t>
            </w:r>
          </w:p>
        </w:tc>
        <w:tc>
          <w:tcPr>
            <w:tcW w:type="dxa" w:w="1928"/>
          </w:tcPr>
          <w:p>
            <w:r>
              <w:t>Competitive Disadvantage</w:t>
            </w:r>
          </w:p>
        </w:tc>
        <w:tc>
          <w:tcPr>
            <w:tcW w:type="dxa" w:w="1134"/>
          </w:tcPr>
          <w:p>
            <w:r>
              <w:t>Eliminated</w:t>
            </w:r>
          </w:p>
        </w:tc>
      </w:tr>
      <w:tr>
        <w:tc>
          <w:tcPr>
            <w:tcW w:type="dxa" w:w="454"/>
          </w:tcPr>
          <w:p>
            <w:r>
              <w:t>22</w:t>
            </w:r>
          </w:p>
        </w:tc>
        <w:tc>
          <w:tcPr>
            <w:tcW w:type="dxa" w:w="4309"/>
          </w:tcPr>
          <w:p>
            <w:r>
              <w:t>Vehicle condition and overall cleanliness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Retained</w:t>
            </w:r>
          </w:p>
        </w:tc>
      </w:tr>
      <w:tr>
        <w:tc>
          <w:tcPr>
            <w:tcW w:type="dxa" w:w="454"/>
          </w:tcPr>
          <w:p>
            <w:r>
              <w:t>23</w:t>
            </w:r>
          </w:p>
        </w:tc>
        <w:tc>
          <w:tcPr>
            <w:tcW w:type="dxa" w:w="4309"/>
          </w:tcPr>
          <w:p>
            <w:r>
              <w:t>Capability for temperature control inside the vehicle</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24</w:t>
            </w:r>
          </w:p>
        </w:tc>
        <w:tc>
          <w:tcPr>
            <w:tcW w:type="dxa" w:w="4309"/>
          </w:tcPr>
          <w:p>
            <w:r>
              <w:t>Handling care during loading of consignment</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Retained</w:t>
            </w:r>
          </w:p>
        </w:tc>
      </w:tr>
      <w:tr>
        <w:tc>
          <w:tcPr>
            <w:tcW w:type="dxa" w:w="454"/>
          </w:tcPr>
          <w:p>
            <w:r>
              <w:t>25</w:t>
            </w:r>
          </w:p>
        </w:tc>
        <w:tc>
          <w:tcPr>
            <w:tcW w:type="dxa" w:w="4309"/>
          </w:tcPr>
          <w:p>
            <w:r>
              <w:t>Safety measures during transit</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26</w:t>
            </w:r>
          </w:p>
        </w:tc>
        <w:tc>
          <w:tcPr>
            <w:tcW w:type="dxa" w:w="4309"/>
          </w:tcPr>
          <w:p>
            <w:r>
              <w:t>Impact of timely delivery on quality</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Retained</w:t>
            </w:r>
          </w:p>
        </w:tc>
      </w:tr>
      <w:tr>
        <w:tc>
          <w:tcPr>
            <w:tcW w:type="dxa" w:w="454"/>
          </w:tcPr>
          <w:p>
            <w:r>
              <w:t>27</w:t>
            </w:r>
          </w:p>
        </w:tc>
        <w:tc>
          <w:tcPr>
            <w:tcW w:type="dxa" w:w="4309"/>
          </w:tcPr>
          <w:p>
            <w:r>
              <w:t>Vibration and shock damage on hilly roads</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Eliminated</w:t>
            </w:r>
          </w:p>
        </w:tc>
      </w:tr>
      <w:tr>
        <w:tc>
          <w:tcPr>
            <w:tcW w:type="dxa" w:w="454"/>
          </w:tcPr>
          <w:p>
            <w:r>
              <w:t>28</w:t>
            </w:r>
          </w:p>
        </w:tc>
        <w:tc>
          <w:tcPr>
            <w:tcW w:type="dxa" w:w="4309"/>
          </w:tcPr>
          <w:p>
            <w:r>
              <w:t>Exposure of stacked load to rain and dust</w:t>
            </w:r>
          </w:p>
        </w:tc>
        <w:tc>
          <w:tcPr>
            <w:tcW w:type="dxa" w:w="397"/>
          </w:tcPr>
          <w:p>
            <w:r>
              <w:t>Y</w:t>
            </w:r>
          </w:p>
        </w:tc>
        <w:tc>
          <w:tcPr>
            <w:tcW w:type="dxa" w:w="397"/>
          </w:tcPr>
          <w:p>
            <w:r>
              <w:t>Y</w:t>
            </w:r>
          </w:p>
        </w:tc>
        <w:tc>
          <w:tcPr>
            <w:tcW w:type="dxa" w:w="397"/>
          </w:tcPr>
          <w:p>
            <w:r>
              <w:t>Y</w:t>
            </w:r>
          </w:p>
        </w:tc>
        <w:tc>
          <w:tcPr>
            <w:tcW w:type="dxa" w:w="397"/>
          </w:tcPr>
          <w:p>
            <w:r>
              <w:t>N</w:t>
            </w:r>
          </w:p>
        </w:tc>
        <w:tc>
          <w:tcPr>
            <w:tcW w:type="dxa" w:w="1928"/>
          </w:tcPr>
          <w:p>
            <w:r>
              <w:t>Unused Competitive Advantage</w:t>
            </w:r>
          </w:p>
        </w:tc>
        <w:tc>
          <w:tcPr>
            <w:tcW w:type="dxa" w:w="1134"/>
          </w:tcPr>
          <w:p>
            <w:r>
              <w:t>Eliminated</w:t>
            </w:r>
          </w:p>
        </w:tc>
      </w:tr>
      <w:tr>
        <w:tc>
          <w:tcPr>
            <w:tcW w:type="dxa" w:w="454"/>
          </w:tcPr>
          <w:p>
            <w:r>
              <w:t>29</w:t>
            </w:r>
          </w:p>
        </w:tc>
        <w:tc>
          <w:tcPr>
            <w:tcW w:type="dxa" w:w="4309"/>
          </w:tcPr>
          <w:p>
            <w:r>
              <w:t>Quality loss due to mixed cargo (Malta with other goods)</w:t>
            </w:r>
          </w:p>
        </w:tc>
        <w:tc>
          <w:tcPr>
            <w:tcW w:type="dxa" w:w="397"/>
          </w:tcPr>
          <w:p>
            <w:r>
              <w:t>Y</w:t>
            </w:r>
          </w:p>
        </w:tc>
        <w:tc>
          <w:tcPr>
            <w:tcW w:type="dxa" w:w="397"/>
          </w:tcPr>
          <w:p>
            <w:r>
              <w:t>Y</w:t>
            </w:r>
          </w:p>
        </w:tc>
        <w:tc>
          <w:tcPr>
            <w:tcW w:type="dxa" w:w="397"/>
          </w:tcPr>
          <w:p>
            <w:r>
              <w:t>N</w:t>
            </w:r>
          </w:p>
        </w:tc>
        <w:tc>
          <w:tcPr>
            <w:tcW w:type="dxa" w:w="397"/>
          </w:tcPr>
          <w:p>
            <w:r>
              <w:t>Y</w:t>
            </w:r>
          </w:p>
        </w:tc>
        <w:tc>
          <w:tcPr>
            <w:tcW w:type="dxa" w:w="1928"/>
          </w:tcPr>
          <w:p>
            <w:r>
              <w:t>Temporary Competitive Advantage</w:t>
            </w:r>
          </w:p>
        </w:tc>
        <w:tc>
          <w:tcPr>
            <w:tcW w:type="dxa" w:w="1134"/>
          </w:tcPr>
          <w:p>
            <w:r>
              <w:t>Eliminated</w:t>
            </w:r>
          </w:p>
        </w:tc>
      </w:tr>
      <w:tr>
        <w:tc>
          <w:tcPr>
            <w:tcW w:type="dxa" w:w="454"/>
          </w:tcPr>
          <w:p>
            <w:r>
              <w:t>30</w:t>
            </w:r>
          </w:p>
        </w:tc>
        <w:tc>
          <w:tcPr>
            <w:tcW w:type="dxa" w:w="4309"/>
          </w:tcPr>
          <w:p>
            <w:r>
              <w:t>Quality loss due to overloading of the vehicle</w:t>
            </w:r>
          </w:p>
        </w:tc>
        <w:tc>
          <w:tcPr>
            <w:tcW w:type="dxa" w:w="397"/>
          </w:tcPr>
          <w:p>
            <w:r>
              <w:t>Y</w:t>
            </w:r>
          </w:p>
        </w:tc>
        <w:tc>
          <w:tcPr>
            <w:tcW w:type="dxa" w:w="397"/>
          </w:tcPr>
          <w:p>
            <w:r>
              <w:t>Y</w:t>
            </w:r>
          </w:p>
        </w:tc>
        <w:tc>
          <w:tcPr>
            <w:tcW w:type="dxa" w:w="397"/>
          </w:tcPr>
          <w:p>
            <w:r>
              <w:t>Y</w:t>
            </w:r>
          </w:p>
        </w:tc>
        <w:tc>
          <w:tcPr>
            <w:tcW w:type="dxa" w:w="397"/>
          </w:tcPr>
          <w:p>
            <w:r>
              <w:t>Y</w:t>
            </w:r>
          </w:p>
        </w:tc>
        <w:tc>
          <w:tcPr>
            <w:tcW w:type="dxa" w:w="1928"/>
          </w:tcPr>
          <w:p>
            <w:r>
              <w:t>Sustained Competitive Advantage</w:t>
            </w:r>
          </w:p>
        </w:tc>
        <w:tc>
          <w:tcPr>
            <w:tcW w:type="dxa" w:w="1134"/>
          </w:tcPr>
          <w:p>
            <w:r>
              <w:t>Eliminated</w:t>
            </w:r>
          </w:p>
        </w:tc>
      </w:tr>
    </w:tbl>
    <w:p>
      <w:r>
        <w:t>Read together, the two tables suggest that roughly half of the items in the initial pool offer no more than competitive parity, a further quarter or so are theoretically capable of producing temporary or unused advantage, and a small but strategically important cluster qualifies for sustained advantage. The chapter now turns to the 144 items themselves and the empirical refinement that pared the list down to 82 retained factors.</w:t>
      </w:r>
    </w:p>
    <w:p>
      <w:pPr>
        <w:keepNext/>
        <w:spacing w:before="240" w:after="120"/>
        <w:jc w:val="left"/>
      </w:pPr>
      <w:r>
        <w:rPr>
          <w:rFonts w:ascii="Times New Roman" w:hAnsi="Times New Roman" w:cs="Times New Roman"/>
          <w:b/>
          <w:i w:val="0"/>
          <w:sz w:val="28"/>
        </w:rPr>
        <w:t>3.6  Initial Pool of 144 Factors</w:t>
      </w:r>
    </w:p>
    <w:p>
      <w:pPr>
        <w:spacing w:line="360" w:lineRule="auto" w:after="120"/>
        <w:ind w:firstLine="425"/>
        <w:jc w:val="both"/>
      </w:pPr>
      <w:r>
        <w:rPr>
          <w:rFonts w:ascii="Times New Roman" w:hAnsi="Times New Roman" w:cs="Times New Roman"/>
          <w:b w:val="0"/>
          <w:i w:val="0"/>
          <w:sz w:val="24"/>
        </w:rPr>
        <w:t>The complete initial list of 144 factors generated through literature, expert panels and field observation is presented below, grouped by stage and by the Cost-Time-Quality dimension. Items that survived the refinement process are marked as Retained (R) and items that were dropped are marked as Eliminated (E). The reasons for elimination are summarised in Section 3.7.</w:t>
      </w:r>
    </w:p>
    <w:p>
      <w:pPr>
        <w:keepNext/>
        <w:spacing w:before="160" w:after="80"/>
      </w:pPr>
      <w:r>
        <w:rPr>
          <w:rFonts w:ascii="Times New Roman" w:hAnsi="Times New Roman" w:cs="Times New Roman"/>
          <w:b/>
          <w:i/>
          <w:sz w:val="24"/>
        </w:rPr>
        <w:t>(A) Farm / Grower Stage – 32 initial factors</w:t>
      </w:r>
    </w:p>
    <w:p>
      <w:pPr>
        <w:spacing w:after="40" w:line="276" w:lineRule="auto"/>
        <w:ind w:left="340"/>
        <w:jc w:val="left"/>
      </w:pPr>
      <w:r>
        <w:rPr>
          <w:rFonts w:ascii="Times New Roman" w:hAnsi="Times New Roman" w:cs="Times New Roman"/>
          <w:b w:val="0"/>
          <w:i w:val="0"/>
          <w:sz w:val="24"/>
        </w:rPr>
        <w:t xml:space="preserve">1. Labour cost for plucking and harvesting of Malta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 Cost of baskets / crates used at the orchard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3. Cost of grading and on-farm sorting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4. Cost of packaging material (cartons, gunny bags, layering)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5. Cost of on-farm storage and shed maintenance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6. Loading and unloading charges at the farm gate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7. Local transportation cost from orchard to collection point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8. Cost of pesticide and fertiliser applied close to harvest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9. Cost of orchard upkeep during the harvesting period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10. Cost of training of pluckers and casual labour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11. Cost of supervision of on-field operations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12. Replacement cost of broken or damaged crates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13. Time taken in actual plucking / harvesting of fruits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14. Time spent in sorting and grading at orchard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15. Time consumed in packaging and tying of cartons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16. Waiting time for pick-up / transport at the farm gate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17. Loading time at the farm gate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18. Transit time from farm to local market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19. Time used in pre-harvest field inspection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20. Time spent in assembling daily labour each morning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21. Time taken to procure packaging material from town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22. Idle time at the collection point during peak hours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23. Impact of harvesting method on fruit quality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24. Handling care during plucking and collection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25. Accuracy of grading at orchard level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26. Quality of packaging used at farm gate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27. Storage temperature control at orchard / collection shed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28. Handling quality during transit from farm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29. Maturity stage of fruit at the time of plucking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30. Cleanliness of crates used at collection point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31. Effect of weather during harvest on shelf life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32. Adequacy of natural shade at on-farm storage  </w:t>
      </w:r>
      <w:r>
        <w:rPr>
          <w:rFonts w:ascii="Times New Roman" w:hAnsi="Times New Roman" w:cs="Times New Roman"/>
          <w:b/>
          <w:i/>
          <w:sz w:val="24"/>
        </w:rPr>
        <w:t>[E]</w:t>
      </w:r>
    </w:p>
    <w:p>
      <w:pPr>
        <w:keepNext/>
        <w:spacing w:before="160" w:after="80"/>
      </w:pPr>
      <w:r>
        <w:rPr>
          <w:rFonts w:ascii="Times New Roman" w:hAnsi="Times New Roman" w:cs="Times New Roman"/>
          <w:b/>
          <w:i/>
          <w:sz w:val="24"/>
        </w:rPr>
        <w:t>(B) Local Trader / Commission Agent Stage – 29 initial factors</w:t>
      </w:r>
    </w:p>
    <w:p>
      <w:pPr>
        <w:spacing w:after="40" w:line="276" w:lineRule="auto"/>
        <w:ind w:left="340"/>
        <w:jc w:val="left"/>
      </w:pPr>
      <w:r>
        <w:rPr>
          <w:rFonts w:ascii="Times New Roman" w:hAnsi="Times New Roman" w:cs="Times New Roman"/>
          <w:b w:val="0"/>
          <w:i w:val="0"/>
          <w:sz w:val="24"/>
        </w:rPr>
        <w:t xml:space="preserve">1. Purchase price paid to farmers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 Transportation to trader's premises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3. Storage and handling charges at trader's godown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4. Re-grading and re-packaging cost at trader level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5. Commission and agency charges payable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6. Loading and onward transport cost to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7. Cost of advances given to farmers ahead of season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8. Cost of maintaining a local godown / collection shed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9. Cost of bookkeeping and basic record keeping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10. Cost of refreshments and hospitality for visiting farmers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11. Cost of damage compensation paid to farmers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12. Time taken to collect produce from multiple farmers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13. Time spent in quality inspection by the trader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14. Time taken in re-sorting at trader level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15. Storage duration at trader's premises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16. Waiting time for onward transport to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17. Time spent in price negotiation with farmers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18. Time used for daily reconciliation of weights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19. Time taken in arranging vehicles during peak season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20. Time consumed in coordinating with mandi commission agents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21. Initial quality assessment by the trader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22. Maintenance of storage condition at trader's place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23. Handling care during re-grading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24. Packaging quality control after re-packing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25. Transit quality management from trader to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26. Mixing of grades during re-packaging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27. Exposure to direct sunlight at trader's premises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28. Quality loss due to repeated weighing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29. Inconsistency in grading judgement across staff  </w:t>
      </w:r>
      <w:r>
        <w:rPr>
          <w:rFonts w:ascii="Times New Roman" w:hAnsi="Times New Roman" w:cs="Times New Roman"/>
          <w:b/>
          <w:i/>
          <w:sz w:val="24"/>
        </w:rPr>
        <w:t>[E]</w:t>
      </w:r>
    </w:p>
    <w:p>
      <w:pPr>
        <w:keepNext/>
        <w:spacing w:before="160" w:after="80"/>
      </w:pPr>
      <w:r>
        <w:rPr>
          <w:rFonts w:ascii="Times New Roman" w:hAnsi="Times New Roman" w:cs="Times New Roman"/>
          <w:b/>
          <w:i/>
          <w:sz w:val="24"/>
        </w:rPr>
        <w:t>(C) Wholesale / Mandi Stage – 28 initial factors</w:t>
      </w:r>
    </w:p>
    <w:p>
      <w:pPr>
        <w:spacing w:after="40" w:line="276" w:lineRule="auto"/>
        <w:ind w:left="340"/>
        <w:jc w:val="left"/>
      </w:pPr>
      <w:r>
        <w:rPr>
          <w:rFonts w:ascii="Times New Roman" w:hAnsi="Times New Roman" w:cs="Times New Roman"/>
          <w:b w:val="0"/>
          <w:i w:val="0"/>
          <w:sz w:val="24"/>
        </w:rPr>
        <w:t xml:space="preserve">1. Mandi entry fee / gate fee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 Weighing charges at mandi platform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3. Storage rent at mandi premises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4. Commission agent charges (arhatiya commission)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5. Loading and unloading labour cost at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6. Cost of onward transportation to retailer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7. Cost of mandi licence renewal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8. Cost of mandatory market fee / cess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9. Cost of arbitration in case of disputes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10. Cost of waste disposal at mandi premises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11. Unloading and entry-gate time at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12. Waiting time before auction begins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13. Auction duration at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14. Payment settlement / cash release time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15. Loading time for outbound dispatch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16. Time spent in queue at mandi gate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17. Time consumed in obtaining gate-pass and entry slip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18. Time required for re-weighing on buyer's request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19. Time used in coordinating with multiple buyers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20. Quality inspection at mandi entry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21. Storage conditions inside the mandi shed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22. Handling care during the auction process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23. Verification of grading by buyer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24. Post-auction handling and re-stacking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25. Mixing of stock from different consignments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26. Hygiene level of mandi floor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27. Pest and insect exposure inside mandi sheds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28. Damage caused by stacking pressure during peak inflow  </w:t>
      </w:r>
      <w:r>
        <w:rPr>
          <w:rFonts w:ascii="Times New Roman" w:hAnsi="Times New Roman" w:cs="Times New Roman"/>
          <w:b/>
          <w:i/>
          <w:sz w:val="24"/>
        </w:rPr>
        <w:t>[E]</w:t>
      </w:r>
    </w:p>
    <w:p>
      <w:pPr>
        <w:keepNext/>
        <w:spacing w:before="160" w:after="80"/>
      </w:pPr>
      <w:r>
        <w:rPr>
          <w:rFonts w:ascii="Times New Roman" w:hAnsi="Times New Roman" w:cs="Times New Roman"/>
          <w:b/>
          <w:i/>
          <w:sz w:val="24"/>
        </w:rPr>
        <w:t>(D) Retailer Stage – 25 initial factors</w:t>
      </w:r>
    </w:p>
    <w:p>
      <w:pPr>
        <w:spacing w:after="40" w:line="276" w:lineRule="auto"/>
        <w:ind w:left="340"/>
        <w:jc w:val="left"/>
      </w:pPr>
      <w:r>
        <w:rPr>
          <w:rFonts w:ascii="Times New Roman" w:hAnsi="Times New Roman" w:cs="Times New Roman"/>
          <w:b w:val="0"/>
          <w:i w:val="0"/>
          <w:sz w:val="24"/>
        </w:rPr>
        <w:t xml:space="preserve">1. Purchase cost from mandi / wholesaler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 Transportation cost from mandi to retail outlet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3. Storage and display cost at retail level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4. Wastage and spoilage cost at retail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5. Retail space rent or daily pitch fee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6. Handling and labour cost at the shop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7. Cost of carry bags and small packing material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8. Cost of street vendor / municipal levies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9. Cost of price-tags and small signage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10. Cost of weighing scale calibration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11. Time spent in procurement from wholesaler /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12. Time taken in arranging the display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13. Time spent in attending customers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14. Inventory turnover time at retail level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15. Time spent in daily price discovery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16. Time used in segregating overripe fruits each morning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17. Time taken in cash settlement at end of day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18. Quality check at the time of purchase from mandi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19. Quality of storage and display at retail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20. Maintenance of freshness through the day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21. Customer perception of fruit quality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22. Quality reflected in post-sale customer feedback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23. Direct exposure of fruit to sunlight at the shop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24. Effect of dust and pollution on display fruits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25. Quality damage due to repeated handling by customers  </w:t>
      </w:r>
      <w:r>
        <w:rPr>
          <w:rFonts w:ascii="Times New Roman" w:hAnsi="Times New Roman" w:cs="Times New Roman"/>
          <w:b/>
          <w:i/>
          <w:sz w:val="24"/>
        </w:rPr>
        <w:t>[E]</w:t>
      </w:r>
    </w:p>
    <w:p>
      <w:pPr>
        <w:keepNext/>
        <w:spacing w:before="160" w:after="80"/>
      </w:pPr>
      <w:r>
        <w:rPr>
          <w:rFonts w:ascii="Times New Roman" w:hAnsi="Times New Roman" w:cs="Times New Roman"/>
          <w:b/>
          <w:i/>
          <w:sz w:val="24"/>
        </w:rPr>
        <w:t>(E) Transportation Stage – 30 initial factors</w:t>
      </w:r>
    </w:p>
    <w:p>
      <w:pPr>
        <w:spacing w:after="40" w:line="276" w:lineRule="auto"/>
        <w:ind w:left="340"/>
        <w:jc w:val="left"/>
      </w:pPr>
      <w:r>
        <w:rPr>
          <w:rFonts w:ascii="Times New Roman" w:hAnsi="Times New Roman" w:cs="Times New Roman"/>
          <w:b w:val="0"/>
          <w:i w:val="0"/>
          <w:sz w:val="24"/>
        </w:rPr>
        <w:t xml:space="preserve">1. Vehicle hire / ownership cost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 Fuel and routine maintenance cost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3. Driver and helper wages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4. Loading and unloading charges at terminals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5. Insurance and statutory permit cost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6. Toll and route-related charges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7. Cost of parking at transit points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8. Cost of detention during long unloading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9. Cost of overnight halt for drivers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10. Cost of vehicle cleaning / sanitation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11. Cost of GPS and tracking devices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12. Vehicle availability time during peak season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13. Loading time at the dispatch point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14. Transit duration on the route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15. Unloading time at the destination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16. Return-journey time of the vehicle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17. Time lost in landslide / road blockage on hill routes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18. Time spent at check-posts and barriers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19. Time used in route diversion during monsoon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20. Documentation and gate-pass time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21. Driver rest break time during long haul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22. Vehicle condition and overall cleanliness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23. Capability for temperature control inside the vehicle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24. Handling care during loading of consignment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25. Safety measures during transit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26. Impact of timely delivery on quality  </w:t>
      </w:r>
      <w:r>
        <w:rPr>
          <w:rFonts w:ascii="Times New Roman" w:hAnsi="Times New Roman" w:cs="Times New Roman"/>
          <w:b/>
          <w:i/>
          <w:sz w:val="24"/>
        </w:rPr>
        <w:t>[R]</w:t>
      </w:r>
    </w:p>
    <w:p>
      <w:pPr>
        <w:spacing w:after="40" w:line="276" w:lineRule="auto"/>
        <w:ind w:left="340"/>
        <w:jc w:val="left"/>
      </w:pPr>
      <w:r>
        <w:rPr>
          <w:rFonts w:ascii="Times New Roman" w:hAnsi="Times New Roman" w:cs="Times New Roman"/>
          <w:b w:val="0"/>
          <w:i w:val="0"/>
          <w:sz w:val="24"/>
        </w:rPr>
        <w:t xml:space="preserve">27. Vibration and shock damage on hilly roads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28. Exposure of stacked load to rain and dust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29. Quality loss due to mixed cargo (Malta with other goods)  </w:t>
      </w:r>
      <w:r>
        <w:rPr>
          <w:rFonts w:ascii="Times New Roman" w:hAnsi="Times New Roman" w:cs="Times New Roman"/>
          <w:b/>
          <w:i/>
          <w:sz w:val="24"/>
        </w:rPr>
        <w:t>[E]</w:t>
      </w:r>
    </w:p>
    <w:p>
      <w:pPr>
        <w:spacing w:after="40" w:line="276" w:lineRule="auto"/>
        <w:ind w:left="340"/>
        <w:jc w:val="left"/>
      </w:pPr>
      <w:r>
        <w:rPr>
          <w:rFonts w:ascii="Times New Roman" w:hAnsi="Times New Roman" w:cs="Times New Roman"/>
          <w:b w:val="0"/>
          <w:i w:val="0"/>
          <w:sz w:val="24"/>
        </w:rPr>
        <w:t xml:space="preserve">30. Quality loss due to overloading of the vehicle  </w:t>
      </w:r>
      <w:r>
        <w:rPr>
          <w:rFonts w:ascii="Times New Roman" w:hAnsi="Times New Roman" w:cs="Times New Roman"/>
          <w:b/>
          <w:i/>
          <w:sz w:val="24"/>
        </w:rPr>
        <w:t>[E]</w:t>
      </w:r>
    </w:p>
    <w:p>
      <w:pPr>
        <w:spacing w:line="360" w:lineRule="auto" w:after="120"/>
        <w:ind w:firstLine="425"/>
        <w:jc w:val="both"/>
      </w:pPr>
      <w:r>
        <w:rPr>
          <w:rFonts w:ascii="Times New Roman" w:hAnsi="Times New Roman" w:cs="Times New Roman"/>
          <w:b w:val="0"/>
          <w:i w:val="0"/>
          <w:sz w:val="24"/>
        </w:rPr>
        <w:t>Note: R = Retained in the final 82-factor instrument, E = Eliminated during the refinement process described in Section 3.7.</w:t>
      </w:r>
    </w:p>
    <w:p>
      <w:pPr>
        <w:keepNext/>
        <w:spacing w:before="240" w:after="120"/>
        <w:jc w:val="left"/>
      </w:pPr>
      <w:r>
        <w:rPr>
          <w:rFonts w:ascii="Times New Roman" w:hAnsi="Times New Roman" w:cs="Times New Roman"/>
          <w:b/>
          <w:i w:val="0"/>
          <w:sz w:val="28"/>
        </w:rPr>
        <w:t>3.7  Refinement Process: From 144 to 82 Factors</w:t>
      </w:r>
    </w:p>
    <w:p>
      <w:pPr>
        <w:spacing w:line="360" w:lineRule="auto" w:after="120"/>
        <w:ind w:firstLine="425"/>
        <w:jc w:val="both"/>
      </w:pPr>
      <w:r>
        <w:rPr>
          <w:rFonts w:ascii="Times New Roman" w:hAnsi="Times New Roman" w:cs="Times New Roman"/>
          <w:b w:val="0"/>
          <w:i w:val="0"/>
          <w:sz w:val="24"/>
        </w:rPr>
        <w:t>The reduction of factors from 144 to 82 was not a single-step exercise. Three checks were carried out, in sequence, and a factor had to clear all three checks to enter the final instrument. The flow is summarised in the funnel diagram below.</w:t>
      </w:r>
    </w:p>
    <w:p>
      <w:pPr>
        <w:spacing w:before="160" w:after="40"/>
        <w:jc w:val="center"/>
      </w:pPr>
      <w:r>
        <w:drawing>
          <wp:inline xmlns:a="http://schemas.openxmlformats.org/drawingml/2006/main" xmlns:pic="http://schemas.openxmlformats.org/drawingml/2006/picture">
            <wp:extent cx="5852160" cy="3915424"/>
            <wp:docPr id="7" name="Picture 7"/>
            <wp:cNvGraphicFramePr>
              <a:graphicFrameLocks noChangeAspect="1"/>
            </wp:cNvGraphicFramePr>
            <a:graphic>
              <a:graphicData uri="http://schemas.openxmlformats.org/drawingml/2006/picture">
                <pic:pic>
                  <pic:nvPicPr>
                    <pic:cNvPr id="0" name="fig_3_6_refinement_funnel.png"/>
                    <pic:cNvPicPr/>
                  </pic:nvPicPr>
                  <pic:blipFill>
                    <a:blip r:embed="rId15"/>
                    <a:stretch>
                      <a:fillRect/>
                    </a:stretch>
                  </pic:blipFill>
                  <pic:spPr>
                    <a:xfrm>
                      <a:off x="0" y="0"/>
                      <a:ext cx="5852160" cy="3915424"/>
                    </a:xfrm>
                    <a:prstGeom prst="rect"/>
                  </pic:spPr>
                </pic:pic>
              </a:graphicData>
            </a:graphic>
          </wp:inline>
        </w:drawing>
      </w:r>
    </w:p>
    <w:p>
      <w:pPr>
        <w:spacing w:before="40" w:after="160"/>
        <w:jc w:val="center"/>
      </w:pPr>
      <w:r>
        <w:rPr>
          <w:rFonts w:ascii="Times New Roman" w:hAnsi="Times New Roman" w:cs="Times New Roman"/>
          <w:b/>
          <w:i/>
          <w:sz w:val="22"/>
        </w:rPr>
        <w:t>Figure 3.7  Three-step refinement funnel (144 → 116 → 94 → 82 factors)</w:t>
      </w:r>
    </w:p>
    <w:p>
      <w:r>
        <w:rPr>
          <w:b/>
          <w:sz w:val="24"/>
        </w:rPr>
        <w:t>3.7.0  Rationale and definition of the elimination criteria</w:t>
      </w:r>
    </w:p>
    <w:p>
      <w:r>
        <w:t>An item-pool reduction of the size attempted here, from 144 to 82, cannot rest on the judgement of any single screen. Methodologists working on instrument development have argued, since at least Lawshe (1975), that content validity needs to be evidenced through a structured expert process before any psychometric work begins, and that the psychometric work itself should sit on a pilot of adequate size and demographic spread (DeVellis, 2017; Hair et al., 2019). Polit and Beck (2006) and Polit, Beck and Owen (2007) make the additional point that content validity and inter-rater agreement answer different questions: the first asks whether the item belongs to the construct at all, and the second asks whether trained observers read the item the same way. Reading the two literatures together, the present study used three sequential filters, each with an explicit decision rule, and an item had to clear all three to enter the final 82-item instrument.</w:t>
      </w:r>
    </w:p>
    <w:p>
      <w:r>
        <w:t>Filter 1 was a content-validity check by a panel of fifteen experts. The decision rule combined Lawshe's (1975) Content Validity Ratio with Polit and Beck's (2006) item-level Content Validity Index (I-CVI). A factor was retained only when I-CVI ≥ 0.78 and the panel mean relevance rating was ≥ 3.0 on the 1–5 scale; in addition, no item could be marked irrelevant by more than one-third of the panel. Filter 2 was a pilot reliability check on 60 respondents drawn proportionately from the five strata. The rule, following Nunnally (1978) and Tavakol and Dennick (2011), was that the corrected item-total correlation had to be at least 0.30, and no item could lift the parent sub-scale's Cronbach's alpha by more than 0.02 if it were deleted (DeVellis, 2017; Cortina, 1993). Filter 3 was an inter-rater consistency check using Cohen's (1960) kappa, with the cut-off set at κ ≥ 0.60 in line with the substantial-agreement band of Landis and Koch (1977) and the guidance of McHugh (2012). The cumulative effect of the three filters is shown in the funnel diagram of Figure 3.7.</w:t>
      </w:r>
    </w:p>
    <w:p>
      <w:pPr>
        <w:keepNext/>
        <w:spacing w:before="160" w:after="80"/>
      </w:pPr>
      <w:r>
        <w:rPr>
          <w:rFonts w:ascii="Times New Roman" w:hAnsi="Times New Roman" w:cs="Times New Roman"/>
          <w:b/>
          <w:i/>
          <w:sz w:val="24"/>
        </w:rPr>
        <w:t>3.7.1  Step 1 - Expert content validity check</w:t>
      </w:r>
    </w:p>
    <w:p>
      <w:pPr>
        <w:spacing w:line="360" w:lineRule="auto" w:after="120"/>
        <w:ind w:firstLine="425"/>
        <w:jc w:val="both"/>
      </w:pPr>
      <w:r>
        <w:rPr>
          <w:rFonts w:ascii="Times New Roman" w:hAnsi="Times New Roman" w:cs="Times New Roman"/>
          <w:b w:val="0"/>
          <w:i w:val="0"/>
          <w:sz w:val="24"/>
        </w:rPr>
        <w:t>A panel of fifteen experts (six academic experts in agribusiness and supply chain, four senior officials from APMC mandis and the State Horticulture Mission, three large progressive growers and two senior commission agents) rated each of the 144 factors on a relevance scale of 1 to 5. A factor that received a mean score below 3.0 from the panel, or where more than one-third of the experts marked it as 'overlapping with another factor', was flagged for elimination. This step alone removed 28 items, mostly those that were either too specific (for example, cost of refreshments at trader's place) or essentially restated another factor in different words.</w:t>
      </w:r>
    </w:p>
    <w:p>
      <w:pPr>
        <w:keepNext/>
        <w:spacing w:before="160" w:after="80"/>
      </w:pPr>
      <w:r>
        <w:rPr>
          <w:rFonts w:ascii="Times New Roman" w:hAnsi="Times New Roman" w:cs="Times New Roman"/>
          <w:b/>
          <w:i/>
          <w:sz w:val="24"/>
        </w:rPr>
        <w:t>3.7.2  Step 2 - Pilot reliability and item-total consistency</w:t>
      </w:r>
    </w:p>
    <w:p>
      <w:pPr>
        <w:spacing w:line="360" w:lineRule="auto" w:after="120"/>
        <w:ind w:firstLine="425"/>
        <w:jc w:val="both"/>
      </w:pPr>
      <w:r>
        <w:rPr>
          <w:rFonts w:ascii="Times New Roman" w:hAnsi="Times New Roman" w:cs="Times New Roman"/>
          <w:b w:val="0"/>
          <w:i w:val="0"/>
          <w:sz w:val="24"/>
        </w:rPr>
        <w:t>The remaining 116 factors were tested through a pilot survey of 60 respondents drawn proportionately from the five stakeholder groups. Cronbach's alpha was computed for every cost, time and quality scale at every stage. Items whose corrected item-total correlation fell below 0.30, or whose deletion would push the scale alpha above the existing alpha by more than 0.02, were removed. This step eliminated a further 22 items. After this step, 94 items remained.</w:t>
      </w:r>
    </w:p>
    <w:p>
      <w:pPr>
        <w:keepNext/>
        <w:spacing w:before="160" w:after="80"/>
      </w:pPr>
      <w:r>
        <w:rPr>
          <w:rFonts w:ascii="Times New Roman" w:hAnsi="Times New Roman" w:cs="Times New Roman"/>
          <w:b/>
          <w:i/>
          <w:sz w:val="24"/>
        </w:rPr>
        <w:t>3.7.3  Step 3 - Inter-rater consistency and final pruning</w:t>
      </w:r>
    </w:p>
    <w:p>
      <w:pPr>
        <w:spacing w:line="360" w:lineRule="auto" w:after="120"/>
        <w:ind w:firstLine="425"/>
        <w:jc w:val="both"/>
      </w:pPr>
      <w:r>
        <w:rPr>
          <w:rFonts w:ascii="Times New Roman" w:hAnsi="Times New Roman" w:cs="Times New Roman"/>
          <w:b w:val="0"/>
          <w:i w:val="0"/>
          <w:sz w:val="24"/>
        </w:rPr>
        <w:t>An inter-rater consistency check was conducted on the 94 items by sharing the item set with a smaller expert sub-panel of seven members. Cohen's kappa was computed pair-wise, and items where agreement on the dimension (cost / time / quality) fell below k = 0.60 were re-examined and either merged with a parent item or dropped. Twelve more items were removed at this stage. The instrument finally stabilised at 82 factors. Post-refinement reliability statistics from the main survey (n = 1,300) are reported in Table 3.3 and visualised in Figure 3.8.</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35"/>
            <w:vAlign w:val="center"/>
          </w:tcPr>
          <w:p>
            <w:pPr>
              <w:jc w:val="center"/>
            </w:pPr>
            <w:r/>
            <w:r>
              <w:rPr>
                <w:rFonts w:ascii="Times New Roman" w:hAnsi="Times New Roman" w:cs="Times New Roman"/>
                <w:b/>
                <w:i w:val="0"/>
                <w:sz w:val="22"/>
              </w:rPr>
              <w:t>Sub-scale</w:t>
            </w:r>
          </w:p>
        </w:tc>
        <w:tc>
          <w:tcPr>
            <w:tcW w:type="dxa" w:w="1814"/>
            <w:vAlign w:val="center"/>
          </w:tcPr>
          <w:p>
            <w:pPr>
              <w:jc w:val="center"/>
            </w:pPr>
            <w:r/>
            <w:r>
              <w:rPr>
                <w:rFonts w:ascii="Times New Roman" w:hAnsi="Times New Roman" w:cs="Times New Roman"/>
                <w:b/>
                <w:i w:val="0"/>
                <w:sz w:val="22"/>
              </w:rPr>
              <w:t>No. of items</w:t>
            </w:r>
          </w:p>
        </w:tc>
        <w:tc>
          <w:tcPr>
            <w:tcW w:type="dxa" w:w="1928"/>
            <w:vAlign w:val="center"/>
          </w:tcPr>
          <w:p>
            <w:pPr>
              <w:jc w:val="center"/>
            </w:pPr>
            <w:r/>
            <w:r>
              <w:rPr>
                <w:rFonts w:ascii="Times New Roman" w:hAnsi="Times New Roman" w:cs="Times New Roman"/>
                <w:b/>
                <w:i w:val="0"/>
                <w:sz w:val="22"/>
              </w:rPr>
              <w:t>Cronbach's α</w:t>
            </w:r>
          </w:p>
        </w:tc>
        <w:tc>
          <w:tcPr>
            <w:tcW w:type="dxa" w:w="2608"/>
            <w:vAlign w:val="center"/>
          </w:tcPr>
          <w:p>
            <w:pPr>
              <w:jc w:val="center"/>
            </w:pPr>
            <w:r/>
            <w:r>
              <w:rPr>
                <w:rFonts w:ascii="Times New Roman" w:hAnsi="Times New Roman" w:cs="Times New Roman"/>
                <w:b/>
                <w:i w:val="0"/>
                <w:sz w:val="22"/>
              </w:rPr>
              <w:t>Avg. inter-item correlation</w:t>
            </w:r>
          </w:p>
        </w:tc>
      </w:tr>
      <w:tr>
        <w:tc>
          <w:tcPr>
            <w:tcW w:type="dxa" w:w="2835"/>
            <w:vAlign w:val="center"/>
          </w:tcPr>
          <w:p>
            <w:pPr>
              <w:jc w:val="left"/>
            </w:pPr>
            <w:r/>
            <w:r>
              <w:rPr>
                <w:rFonts w:ascii="Times New Roman" w:hAnsi="Times New Roman" w:cs="Times New Roman"/>
                <w:b w:val="0"/>
                <w:i w:val="0"/>
                <w:sz w:val="22"/>
              </w:rPr>
              <w:t>Farm – Cost</w:t>
            </w:r>
          </w:p>
        </w:tc>
        <w:tc>
          <w:tcPr>
            <w:tcW w:type="dxa" w:w="1814"/>
            <w:vAlign w:val="center"/>
          </w:tcPr>
          <w:p>
            <w:pPr>
              <w:jc w:val="left"/>
            </w:pPr>
            <w:r/>
            <w:r>
              <w:rPr>
                <w:rFonts w:ascii="Times New Roman" w:hAnsi="Times New Roman" w:cs="Times New Roman"/>
                <w:b w:val="0"/>
                <w:i w:val="0"/>
                <w:sz w:val="22"/>
              </w:rPr>
              <w:t>7</w:t>
            </w:r>
          </w:p>
        </w:tc>
        <w:tc>
          <w:tcPr>
            <w:tcW w:type="dxa" w:w="1928"/>
            <w:vAlign w:val="center"/>
          </w:tcPr>
          <w:p>
            <w:pPr>
              <w:jc w:val="left"/>
            </w:pPr>
            <w:r/>
            <w:r>
              <w:rPr>
                <w:rFonts w:ascii="Times New Roman" w:hAnsi="Times New Roman" w:cs="Times New Roman"/>
                <w:b w:val="0"/>
                <w:i w:val="0"/>
                <w:sz w:val="22"/>
              </w:rPr>
              <w:t>0.917</w:t>
            </w:r>
          </w:p>
        </w:tc>
        <w:tc>
          <w:tcPr>
            <w:tcW w:type="dxa" w:w="2608"/>
            <w:vAlign w:val="center"/>
          </w:tcPr>
          <w:p>
            <w:pPr>
              <w:jc w:val="left"/>
            </w:pPr>
            <w:r/>
            <w:r>
              <w:rPr>
                <w:rFonts w:ascii="Times New Roman" w:hAnsi="Times New Roman" w:cs="Times New Roman"/>
                <w:b w:val="0"/>
                <w:i w:val="0"/>
                <w:sz w:val="22"/>
              </w:rPr>
              <w:t>0.614</w:t>
            </w:r>
          </w:p>
        </w:tc>
      </w:tr>
      <w:tr>
        <w:tc>
          <w:tcPr>
            <w:tcW w:type="dxa" w:w="2835"/>
            <w:vAlign w:val="center"/>
          </w:tcPr>
          <w:p>
            <w:pPr>
              <w:jc w:val="left"/>
            </w:pPr>
            <w:r/>
            <w:r>
              <w:rPr>
                <w:rFonts w:ascii="Times New Roman" w:hAnsi="Times New Roman" w:cs="Times New Roman"/>
                <w:b w:val="0"/>
                <w:i w:val="0"/>
                <w:sz w:val="22"/>
              </w:rPr>
              <w:t>Farm – Time</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0.897</w:t>
            </w:r>
          </w:p>
        </w:tc>
        <w:tc>
          <w:tcPr>
            <w:tcW w:type="dxa" w:w="2608"/>
            <w:vAlign w:val="center"/>
          </w:tcPr>
          <w:p>
            <w:pPr>
              <w:jc w:val="left"/>
            </w:pPr>
            <w:r/>
            <w:r>
              <w:rPr>
                <w:rFonts w:ascii="Times New Roman" w:hAnsi="Times New Roman" w:cs="Times New Roman"/>
                <w:b w:val="0"/>
                <w:i w:val="0"/>
                <w:sz w:val="22"/>
              </w:rPr>
              <w:t>0.591</w:t>
            </w:r>
          </w:p>
        </w:tc>
      </w:tr>
      <w:tr>
        <w:tc>
          <w:tcPr>
            <w:tcW w:type="dxa" w:w="2835"/>
            <w:vAlign w:val="center"/>
          </w:tcPr>
          <w:p>
            <w:pPr>
              <w:jc w:val="left"/>
            </w:pPr>
            <w:r/>
            <w:r>
              <w:rPr>
                <w:rFonts w:ascii="Times New Roman" w:hAnsi="Times New Roman" w:cs="Times New Roman"/>
                <w:b w:val="0"/>
                <w:i w:val="0"/>
                <w:sz w:val="22"/>
              </w:rPr>
              <w:t>Farm – Quality</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0.919</w:t>
            </w:r>
          </w:p>
        </w:tc>
        <w:tc>
          <w:tcPr>
            <w:tcW w:type="dxa" w:w="2608"/>
            <w:vAlign w:val="center"/>
          </w:tcPr>
          <w:p>
            <w:pPr>
              <w:jc w:val="left"/>
            </w:pPr>
            <w:r/>
            <w:r>
              <w:rPr>
                <w:rFonts w:ascii="Times New Roman" w:hAnsi="Times New Roman" w:cs="Times New Roman"/>
                <w:b w:val="0"/>
                <w:i w:val="0"/>
                <w:sz w:val="22"/>
              </w:rPr>
              <w:t>0.656</w:t>
            </w:r>
          </w:p>
        </w:tc>
      </w:tr>
      <w:tr>
        <w:tc>
          <w:tcPr>
            <w:tcW w:type="dxa" w:w="2835"/>
            <w:vAlign w:val="center"/>
          </w:tcPr>
          <w:p>
            <w:pPr>
              <w:jc w:val="left"/>
            </w:pPr>
            <w:r/>
            <w:r>
              <w:rPr>
                <w:rFonts w:ascii="Times New Roman" w:hAnsi="Times New Roman" w:cs="Times New Roman"/>
                <w:b w:val="0"/>
                <w:i w:val="0"/>
                <w:sz w:val="22"/>
              </w:rPr>
              <w:t>Trader – Cost</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0.899</w:t>
            </w:r>
          </w:p>
        </w:tc>
        <w:tc>
          <w:tcPr>
            <w:tcW w:type="dxa" w:w="2608"/>
            <w:vAlign w:val="center"/>
          </w:tcPr>
          <w:p>
            <w:pPr>
              <w:jc w:val="left"/>
            </w:pPr>
            <w:r/>
            <w:r>
              <w:rPr>
                <w:rFonts w:ascii="Times New Roman" w:hAnsi="Times New Roman" w:cs="Times New Roman"/>
                <w:b w:val="0"/>
                <w:i w:val="0"/>
                <w:sz w:val="22"/>
              </w:rPr>
              <w:t>0.597</w:t>
            </w:r>
          </w:p>
        </w:tc>
      </w:tr>
      <w:tr>
        <w:tc>
          <w:tcPr>
            <w:tcW w:type="dxa" w:w="2835"/>
            <w:vAlign w:val="center"/>
          </w:tcPr>
          <w:p>
            <w:pPr>
              <w:jc w:val="left"/>
            </w:pPr>
            <w:r/>
            <w:r>
              <w:rPr>
                <w:rFonts w:ascii="Times New Roman" w:hAnsi="Times New Roman" w:cs="Times New Roman"/>
                <w:b w:val="0"/>
                <w:i w:val="0"/>
                <w:sz w:val="22"/>
              </w:rPr>
              <w:t>Trader – Time</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0.847</w:t>
            </w:r>
          </w:p>
        </w:tc>
        <w:tc>
          <w:tcPr>
            <w:tcW w:type="dxa" w:w="2608"/>
            <w:vAlign w:val="center"/>
          </w:tcPr>
          <w:p>
            <w:pPr>
              <w:jc w:val="left"/>
            </w:pPr>
            <w:r/>
            <w:r>
              <w:rPr>
                <w:rFonts w:ascii="Times New Roman" w:hAnsi="Times New Roman" w:cs="Times New Roman"/>
                <w:b w:val="0"/>
                <w:i w:val="0"/>
                <w:sz w:val="22"/>
              </w:rPr>
              <w:t>0.525</w:t>
            </w:r>
          </w:p>
        </w:tc>
      </w:tr>
      <w:tr>
        <w:tc>
          <w:tcPr>
            <w:tcW w:type="dxa" w:w="2835"/>
            <w:vAlign w:val="center"/>
          </w:tcPr>
          <w:p>
            <w:pPr>
              <w:jc w:val="left"/>
            </w:pPr>
            <w:r/>
            <w:r>
              <w:rPr>
                <w:rFonts w:ascii="Times New Roman" w:hAnsi="Times New Roman" w:cs="Times New Roman"/>
                <w:b w:val="0"/>
                <w:i w:val="0"/>
                <w:sz w:val="22"/>
              </w:rPr>
              <w:t>Trader – Quality</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0.894</w:t>
            </w:r>
          </w:p>
        </w:tc>
        <w:tc>
          <w:tcPr>
            <w:tcW w:type="dxa" w:w="2608"/>
            <w:vAlign w:val="center"/>
          </w:tcPr>
          <w:p>
            <w:pPr>
              <w:jc w:val="left"/>
            </w:pPr>
            <w:r/>
            <w:r>
              <w:rPr>
                <w:rFonts w:ascii="Times New Roman" w:hAnsi="Times New Roman" w:cs="Times New Roman"/>
                <w:b w:val="0"/>
                <w:i w:val="0"/>
                <w:sz w:val="22"/>
              </w:rPr>
              <w:t>0.628</w:t>
            </w:r>
          </w:p>
        </w:tc>
      </w:tr>
      <w:tr>
        <w:tc>
          <w:tcPr>
            <w:tcW w:type="dxa" w:w="2835"/>
            <w:vAlign w:val="center"/>
          </w:tcPr>
          <w:p>
            <w:pPr>
              <w:jc w:val="left"/>
            </w:pPr>
            <w:r/>
            <w:r>
              <w:rPr>
                <w:rFonts w:ascii="Times New Roman" w:hAnsi="Times New Roman" w:cs="Times New Roman"/>
                <w:b w:val="0"/>
                <w:i w:val="0"/>
                <w:sz w:val="22"/>
              </w:rPr>
              <w:t>Mandi – Cost</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0.905</w:t>
            </w:r>
          </w:p>
        </w:tc>
        <w:tc>
          <w:tcPr>
            <w:tcW w:type="dxa" w:w="2608"/>
            <w:vAlign w:val="center"/>
          </w:tcPr>
          <w:p>
            <w:pPr>
              <w:jc w:val="left"/>
            </w:pPr>
            <w:r/>
            <w:r>
              <w:rPr>
                <w:rFonts w:ascii="Times New Roman" w:hAnsi="Times New Roman" w:cs="Times New Roman"/>
                <w:b w:val="0"/>
                <w:i w:val="0"/>
                <w:sz w:val="22"/>
              </w:rPr>
              <w:t>0.615</w:t>
            </w:r>
          </w:p>
        </w:tc>
      </w:tr>
      <w:tr>
        <w:tc>
          <w:tcPr>
            <w:tcW w:type="dxa" w:w="2835"/>
            <w:vAlign w:val="center"/>
          </w:tcPr>
          <w:p>
            <w:pPr>
              <w:jc w:val="left"/>
            </w:pPr>
            <w:r/>
            <w:r>
              <w:rPr>
                <w:rFonts w:ascii="Times New Roman" w:hAnsi="Times New Roman" w:cs="Times New Roman"/>
                <w:b w:val="0"/>
                <w:i w:val="0"/>
                <w:sz w:val="22"/>
              </w:rPr>
              <w:t>Mandi – Time</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0.861</w:t>
            </w:r>
          </w:p>
        </w:tc>
        <w:tc>
          <w:tcPr>
            <w:tcW w:type="dxa" w:w="2608"/>
            <w:vAlign w:val="center"/>
          </w:tcPr>
          <w:p>
            <w:pPr>
              <w:jc w:val="left"/>
            </w:pPr>
            <w:r/>
            <w:r>
              <w:rPr>
                <w:rFonts w:ascii="Times New Roman" w:hAnsi="Times New Roman" w:cs="Times New Roman"/>
                <w:b w:val="0"/>
                <w:i w:val="0"/>
                <w:sz w:val="22"/>
              </w:rPr>
              <w:t>0.553</w:t>
            </w:r>
          </w:p>
        </w:tc>
      </w:tr>
      <w:tr>
        <w:tc>
          <w:tcPr>
            <w:tcW w:type="dxa" w:w="2835"/>
            <w:vAlign w:val="center"/>
          </w:tcPr>
          <w:p>
            <w:pPr>
              <w:jc w:val="left"/>
            </w:pPr>
            <w:r/>
            <w:r>
              <w:rPr>
                <w:rFonts w:ascii="Times New Roman" w:hAnsi="Times New Roman" w:cs="Times New Roman"/>
                <w:b w:val="0"/>
                <w:i w:val="0"/>
                <w:sz w:val="22"/>
              </w:rPr>
              <w:t>Mandi – Quality</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0.886</w:t>
            </w:r>
          </w:p>
        </w:tc>
        <w:tc>
          <w:tcPr>
            <w:tcW w:type="dxa" w:w="2608"/>
            <w:vAlign w:val="center"/>
          </w:tcPr>
          <w:p>
            <w:pPr>
              <w:jc w:val="left"/>
            </w:pPr>
            <w:r/>
            <w:r>
              <w:rPr>
                <w:rFonts w:ascii="Times New Roman" w:hAnsi="Times New Roman" w:cs="Times New Roman"/>
                <w:b w:val="0"/>
                <w:i w:val="0"/>
                <w:sz w:val="22"/>
              </w:rPr>
              <w:t>0.610</w:t>
            </w:r>
          </w:p>
        </w:tc>
      </w:tr>
      <w:tr>
        <w:tc>
          <w:tcPr>
            <w:tcW w:type="dxa" w:w="2835"/>
            <w:vAlign w:val="center"/>
          </w:tcPr>
          <w:p>
            <w:pPr>
              <w:jc w:val="left"/>
            </w:pPr>
            <w:r/>
            <w:r>
              <w:rPr>
                <w:rFonts w:ascii="Times New Roman" w:hAnsi="Times New Roman" w:cs="Times New Roman"/>
                <w:b w:val="0"/>
                <w:i w:val="0"/>
                <w:sz w:val="22"/>
              </w:rPr>
              <w:t>Retail – Cost</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0.885</w:t>
            </w:r>
          </w:p>
        </w:tc>
        <w:tc>
          <w:tcPr>
            <w:tcW w:type="dxa" w:w="2608"/>
            <w:vAlign w:val="center"/>
          </w:tcPr>
          <w:p>
            <w:pPr>
              <w:jc w:val="left"/>
            </w:pPr>
            <w:r/>
            <w:r>
              <w:rPr>
                <w:rFonts w:ascii="Times New Roman" w:hAnsi="Times New Roman" w:cs="Times New Roman"/>
                <w:b w:val="0"/>
                <w:i w:val="0"/>
                <w:sz w:val="22"/>
              </w:rPr>
              <w:t>0.563</w:t>
            </w:r>
          </w:p>
        </w:tc>
      </w:tr>
      <w:tr>
        <w:tc>
          <w:tcPr>
            <w:tcW w:type="dxa" w:w="2835"/>
            <w:vAlign w:val="center"/>
          </w:tcPr>
          <w:p>
            <w:pPr>
              <w:jc w:val="left"/>
            </w:pPr>
            <w:r/>
            <w:r>
              <w:rPr>
                <w:rFonts w:ascii="Times New Roman" w:hAnsi="Times New Roman" w:cs="Times New Roman"/>
                <w:b w:val="0"/>
                <w:i w:val="0"/>
                <w:sz w:val="22"/>
              </w:rPr>
              <w:t>Retail – Time</w:t>
            </w:r>
          </w:p>
        </w:tc>
        <w:tc>
          <w:tcPr>
            <w:tcW w:type="dxa" w:w="1814"/>
            <w:vAlign w:val="center"/>
          </w:tcPr>
          <w:p>
            <w:pPr>
              <w:jc w:val="left"/>
            </w:pPr>
            <w:r/>
            <w:r>
              <w:rPr>
                <w:rFonts w:ascii="Times New Roman" w:hAnsi="Times New Roman" w:cs="Times New Roman"/>
                <w:b w:val="0"/>
                <w:i w:val="0"/>
                <w:sz w:val="22"/>
              </w:rPr>
              <w:t>4</w:t>
            </w:r>
          </w:p>
        </w:tc>
        <w:tc>
          <w:tcPr>
            <w:tcW w:type="dxa" w:w="1928"/>
            <w:vAlign w:val="center"/>
          </w:tcPr>
          <w:p>
            <w:pPr>
              <w:jc w:val="left"/>
            </w:pPr>
            <w:r/>
            <w:r>
              <w:rPr>
                <w:rFonts w:ascii="Times New Roman" w:hAnsi="Times New Roman" w:cs="Times New Roman"/>
                <w:b w:val="0"/>
                <w:i w:val="0"/>
                <w:sz w:val="22"/>
              </w:rPr>
              <w:t>0.820</w:t>
            </w:r>
          </w:p>
        </w:tc>
        <w:tc>
          <w:tcPr>
            <w:tcW w:type="dxa" w:w="2608"/>
            <w:vAlign w:val="center"/>
          </w:tcPr>
          <w:p>
            <w:pPr>
              <w:jc w:val="left"/>
            </w:pPr>
            <w:r/>
            <w:r>
              <w:rPr>
                <w:rFonts w:ascii="Times New Roman" w:hAnsi="Times New Roman" w:cs="Times New Roman"/>
                <w:b w:val="0"/>
                <w:i w:val="0"/>
                <w:sz w:val="22"/>
              </w:rPr>
              <w:t>0.533</w:t>
            </w:r>
          </w:p>
        </w:tc>
      </w:tr>
      <w:tr>
        <w:tc>
          <w:tcPr>
            <w:tcW w:type="dxa" w:w="2835"/>
            <w:vAlign w:val="center"/>
          </w:tcPr>
          <w:p>
            <w:pPr>
              <w:jc w:val="left"/>
            </w:pPr>
            <w:r/>
            <w:r>
              <w:rPr>
                <w:rFonts w:ascii="Times New Roman" w:hAnsi="Times New Roman" w:cs="Times New Roman"/>
                <w:b w:val="0"/>
                <w:i w:val="0"/>
                <w:sz w:val="22"/>
              </w:rPr>
              <w:t>Retail – Quality</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0.875</w:t>
            </w:r>
          </w:p>
        </w:tc>
        <w:tc>
          <w:tcPr>
            <w:tcW w:type="dxa" w:w="2608"/>
            <w:vAlign w:val="center"/>
          </w:tcPr>
          <w:p>
            <w:pPr>
              <w:jc w:val="left"/>
            </w:pPr>
            <w:r/>
            <w:r>
              <w:rPr>
                <w:rFonts w:ascii="Times New Roman" w:hAnsi="Times New Roman" w:cs="Times New Roman"/>
                <w:b w:val="0"/>
                <w:i w:val="0"/>
                <w:sz w:val="22"/>
              </w:rPr>
              <w:t>0.583</w:t>
            </w:r>
          </w:p>
        </w:tc>
      </w:tr>
      <w:tr>
        <w:tc>
          <w:tcPr>
            <w:tcW w:type="dxa" w:w="2835"/>
            <w:vAlign w:val="center"/>
          </w:tcPr>
          <w:p>
            <w:pPr>
              <w:jc w:val="left"/>
            </w:pPr>
            <w:r/>
            <w:r>
              <w:rPr>
                <w:rFonts w:ascii="Times New Roman" w:hAnsi="Times New Roman" w:cs="Times New Roman"/>
                <w:b w:val="0"/>
                <w:i w:val="0"/>
                <w:sz w:val="22"/>
              </w:rPr>
              <w:t>Transport – Cost</w:t>
            </w:r>
          </w:p>
        </w:tc>
        <w:tc>
          <w:tcPr>
            <w:tcW w:type="dxa" w:w="1814"/>
            <w:vAlign w:val="center"/>
          </w:tcPr>
          <w:p>
            <w:pPr>
              <w:jc w:val="left"/>
            </w:pPr>
            <w:r/>
            <w:r>
              <w:rPr>
                <w:rFonts w:ascii="Times New Roman" w:hAnsi="Times New Roman" w:cs="Times New Roman"/>
                <w:b w:val="0"/>
                <w:i w:val="0"/>
                <w:sz w:val="22"/>
              </w:rPr>
              <w:t>6</w:t>
            </w:r>
          </w:p>
        </w:tc>
        <w:tc>
          <w:tcPr>
            <w:tcW w:type="dxa" w:w="1928"/>
            <w:vAlign w:val="center"/>
          </w:tcPr>
          <w:p>
            <w:pPr>
              <w:jc w:val="left"/>
            </w:pPr>
            <w:r/>
            <w:r>
              <w:rPr>
                <w:rFonts w:ascii="Times New Roman" w:hAnsi="Times New Roman" w:cs="Times New Roman"/>
                <w:b w:val="0"/>
                <w:i w:val="0"/>
                <w:sz w:val="22"/>
              </w:rPr>
              <w:t>0.900</w:t>
            </w:r>
          </w:p>
        </w:tc>
        <w:tc>
          <w:tcPr>
            <w:tcW w:type="dxa" w:w="2608"/>
            <w:vAlign w:val="center"/>
          </w:tcPr>
          <w:p>
            <w:pPr>
              <w:jc w:val="left"/>
            </w:pPr>
            <w:r/>
            <w:r>
              <w:rPr>
                <w:rFonts w:ascii="Times New Roman" w:hAnsi="Times New Roman" w:cs="Times New Roman"/>
                <w:b w:val="0"/>
                <w:i w:val="0"/>
                <w:sz w:val="22"/>
              </w:rPr>
              <w:t>0.601</w:t>
            </w:r>
          </w:p>
        </w:tc>
      </w:tr>
      <w:tr>
        <w:tc>
          <w:tcPr>
            <w:tcW w:type="dxa" w:w="2835"/>
            <w:vAlign w:val="center"/>
          </w:tcPr>
          <w:p>
            <w:pPr>
              <w:jc w:val="left"/>
            </w:pPr>
            <w:r/>
            <w:r>
              <w:rPr>
                <w:rFonts w:ascii="Times New Roman" w:hAnsi="Times New Roman" w:cs="Times New Roman"/>
                <w:b w:val="0"/>
                <w:i w:val="0"/>
                <w:sz w:val="22"/>
              </w:rPr>
              <w:t>Transport – Time</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0.903</w:t>
            </w:r>
          </w:p>
        </w:tc>
        <w:tc>
          <w:tcPr>
            <w:tcW w:type="dxa" w:w="2608"/>
            <w:vAlign w:val="center"/>
          </w:tcPr>
          <w:p>
            <w:pPr>
              <w:jc w:val="left"/>
            </w:pPr>
            <w:r/>
            <w:r>
              <w:rPr>
                <w:rFonts w:ascii="Times New Roman" w:hAnsi="Times New Roman" w:cs="Times New Roman"/>
                <w:b w:val="0"/>
                <w:i w:val="0"/>
                <w:sz w:val="22"/>
              </w:rPr>
              <w:t>0.651</w:t>
            </w:r>
          </w:p>
        </w:tc>
      </w:tr>
      <w:tr>
        <w:tc>
          <w:tcPr>
            <w:tcW w:type="dxa" w:w="2835"/>
            <w:vAlign w:val="center"/>
          </w:tcPr>
          <w:p>
            <w:pPr>
              <w:jc w:val="left"/>
            </w:pPr>
            <w:r/>
            <w:r>
              <w:rPr>
                <w:rFonts w:ascii="Times New Roman" w:hAnsi="Times New Roman" w:cs="Times New Roman"/>
                <w:b w:val="0"/>
                <w:i w:val="0"/>
                <w:sz w:val="22"/>
              </w:rPr>
              <w:t>Transport – Quality</w:t>
            </w:r>
          </w:p>
        </w:tc>
        <w:tc>
          <w:tcPr>
            <w:tcW w:type="dxa" w:w="1814"/>
            <w:vAlign w:val="center"/>
          </w:tcPr>
          <w:p>
            <w:pPr>
              <w:jc w:val="left"/>
            </w:pPr>
            <w:r/>
            <w:r>
              <w:rPr>
                <w:rFonts w:ascii="Times New Roman" w:hAnsi="Times New Roman" w:cs="Times New Roman"/>
                <w:b w:val="0"/>
                <w:i w:val="0"/>
                <w:sz w:val="22"/>
              </w:rPr>
              <w:t>5</w:t>
            </w:r>
          </w:p>
        </w:tc>
        <w:tc>
          <w:tcPr>
            <w:tcW w:type="dxa" w:w="1928"/>
            <w:vAlign w:val="center"/>
          </w:tcPr>
          <w:p>
            <w:pPr>
              <w:jc w:val="left"/>
            </w:pPr>
            <w:r/>
            <w:r>
              <w:rPr>
                <w:rFonts w:ascii="Times New Roman" w:hAnsi="Times New Roman" w:cs="Times New Roman"/>
                <w:b w:val="0"/>
                <w:i w:val="0"/>
                <w:sz w:val="22"/>
              </w:rPr>
              <w:t>0.870</w:t>
            </w:r>
          </w:p>
        </w:tc>
        <w:tc>
          <w:tcPr>
            <w:tcW w:type="dxa" w:w="2608"/>
            <w:vAlign w:val="center"/>
          </w:tcPr>
          <w:p>
            <w:pPr>
              <w:jc w:val="left"/>
            </w:pPr>
            <w:r/>
            <w:r>
              <w:rPr>
                <w:rFonts w:ascii="Times New Roman" w:hAnsi="Times New Roman" w:cs="Times New Roman"/>
                <w:b w:val="0"/>
                <w:i w:val="0"/>
                <w:sz w:val="22"/>
              </w:rPr>
              <w:t>0.572</w:t>
            </w:r>
          </w:p>
        </w:tc>
      </w:tr>
      <w:tr>
        <w:tc>
          <w:tcPr>
            <w:tcW w:type="dxa" w:w="2835"/>
            <w:vAlign w:val="center"/>
          </w:tcPr>
          <w:p>
            <w:pPr>
              <w:jc w:val="left"/>
            </w:pPr>
            <w:r/>
            <w:r>
              <w:rPr>
                <w:rFonts w:ascii="Times New Roman" w:hAnsi="Times New Roman" w:cs="Times New Roman"/>
                <w:b w:val="0"/>
                <w:i w:val="0"/>
                <w:sz w:val="22"/>
              </w:rPr>
              <w:t>Overall (mean)</w:t>
            </w:r>
          </w:p>
        </w:tc>
        <w:tc>
          <w:tcPr>
            <w:tcW w:type="dxa" w:w="1814"/>
            <w:vAlign w:val="center"/>
          </w:tcPr>
          <w:p>
            <w:pPr>
              <w:jc w:val="left"/>
            </w:pPr>
            <w:r/>
            <w:r>
              <w:rPr>
                <w:rFonts w:ascii="Times New Roman" w:hAnsi="Times New Roman" w:cs="Times New Roman"/>
                <w:b w:val="0"/>
                <w:i w:val="0"/>
                <w:sz w:val="22"/>
              </w:rPr>
              <w:t>82</w:t>
            </w:r>
          </w:p>
        </w:tc>
        <w:tc>
          <w:tcPr>
            <w:tcW w:type="dxa" w:w="1928"/>
            <w:vAlign w:val="center"/>
          </w:tcPr>
          <w:p>
            <w:pPr>
              <w:jc w:val="left"/>
            </w:pPr>
            <w:r/>
            <w:r>
              <w:rPr>
                <w:rFonts w:ascii="Times New Roman" w:hAnsi="Times New Roman" w:cs="Times New Roman"/>
                <w:b w:val="0"/>
                <w:i w:val="0"/>
                <w:sz w:val="22"/>
              </w:rPr>
              <w:t>0.885</w:t>
            </w:r>
          </w:p>
        </w:tc>
        <w:tc>
          <w:tcPr>
            <w:tcW w:type="dxa" w:w="2608"/>
            <w:vAlign w:val="center"/>
          </w:tcPr>
          <w:p>
            <w:pPr>
              <w:jc w:val="left"/>
            </w:pPr>
            <w:r/>
            <w:r>
              <w:rPr>
                <w:rFonts w:ascii="Times New Roman" w:hAnsi="Times New Roman" w:cs="Times New Roman"/>
                <w:b w:val="0"/>
                <w:i w:val="0"/>
                <w:sz w:val="22"/>
              </w:rPr>
              <w:t>0.595</w:t>
            </w:r>
          </w:p>
        </w:tc>
      </w:tr>
    </w:tbl>
    <w:p>
      <w:r>
        <w:rPr>
          <w:b/>
          <w:sz w:val="24"/>
        </w:rPr>
        <w:t>3.7.4  Illustrative reasons for elimination</w:t>
      </w:r>
    </w:p>
    <w:p>
      <w:r>
        <w:t>It is useful to record the kinds of factors that did not survive, because the pattern itself tells a methodological story. Six broad groups of items were dropped, and most eliminations belong to one of these groups.</w:t>
      </w:r>
    </w:p>
    <w:p>
      <w:pPr>
        <w:pStyle w:val="ListBullet"/>
      </w:pPr>
      <w:r>
        <w:t>Strategically peripheral cost items. Factors such as the cost of refreshments offered to visiting farmers, the cost of price-tags and small signage at retail, the cost of weighing-scale calibration, and the cost of mandi licence renewal failed at Filter 1. The expert panel rated them as marginal to cost performance, the I-CVI fell below 0.78, and they also failed the V test in the VRIO check. Their elimination is therefore both theoretically and empirically defensible.</w:t>
      </w:r>
    </w:p>
    <w:p>
      <w:pPr>
        <w:pStyle w:val="ListBullet"/>
      </w:pPr>
      <w:r>
        <w:t>Redundant time items that proxy the same delay. Items such as the time spent in queue at the mandi gate and the time used in obtaining a gate-pass and entry slip overlap heavily with the retained item M_TIME_1 (unloading and entry time). They survived Filter 1 but failed Filter 2 because their corrected item-total correlations were lower than 0.30 once the parent item was kept in the scale (Nunnally, 1978; Tavakol and Dennick, 2011).</w:t>
      </w:r>
    </w:p>
    <w:p>
      <w:pPr>
        <w:pStyle w:val="ListBullet"/>
      </w:pPr>
      <w:r>
        <w:t>Operationally noisy quality items. Factors such as the cleanliness of crates, the effect of dust and pollution on display fruits, and the quality damage caused by repeated customer handling were judged conceptually relevant but produced inconsistent ratings across the seven raters in Filter 3, with Cohen's kappa values between 0.42 and 0.55, well below the 0.60 substantial-agreement threshold of Landis and Koch (1977).</w:t>
      </w:r>
    </w:p>
    <w:p>
      <w:pPr>
        <w:pStyle w:val="ListBullet"/>
      </w:pPr>
      <w:r>
        <w:t>Externally driven, uncontrollable items. The effect of weather during harvest on shelf life, the time lost in landslide or road blockage on hill routes, and the time used in route diversion during monsoon are real and important field realities. They were nevertheless dropped because the chain has no operational lever to act on them within the planning horizon of this study; in VRIO terms they sit at parity (everyone faces them), and in the pilot they did not discriminate between respondents.</w:t>
      </w:r>
    </w:p>
    <w:p>
      <w:pPr>
        <w:pStyle w:val="ListBullet"/>
      </w:pPr>
      <w:r>
        <w:t>Items that duplicate a parent item by definition. Re-grading at trader level, mixing of grades during re-packing, and post-auction stacking pressure are conceptually nested within the broader handling-care construct that was retained. Filter 2 flagged them as redundant because their inclusion changed the parent alpha by less than 0.02 (DeVellis, 2017).</w:t>
      </w:r>
    </w:p>
    <w:p>
      <w:pPr>
        <w:pStyle w:val="ListBullet"/>
      </w:pPr>
      <w:r>
        <w:t>Items where the construct was unstable across stakeholder groups. Maturity stage at the time of plucking, for example, drew very different ratings from growers and from mandi commission agents. The kappa for this item across the two groups was 0.38, and the decision was taken in Filter 3 to merge its content into the retained F_QUAL_1 (harvesting method impact on fruit quality) rather than carry the item separately (McHugh, 2012).</w:t>
      </w:r>
    </w:p>
    <w:p>
      <w:r>
        <w:t>It is worth flagging, on a methodological note, that an item dropping out of the final instrument is not the same as the underlying phenomenon being unimportant. Some of the eliminated items are real operational frictions; they were excluded only because they did not meet the psychometric thresholds set out above. The qualitative discussion of Chapter 4 picks up several of these themes again, particularly the externally driven items, even though they do not appear as quantified factors in the Fuzzy AHP and ELECTRE inputs.</w:t>
      </w:r>
    </w:p>
    <w:p>
      <w:pPr>
        <w:spacing w:before="40" w:after="160"/>
        <w:jc w:val="center"/>
      </w:pPr>
      <w:r>
        <w:rPr>
          <w:rFonts w:ascii="Times New Roman" w:hAnsi="Times New Roman" w:cs="Times New Roman"/>
          <w:b/>
          <w:i/>
          <w:sz w:val="22"/>
        </w:rPr>
        <w:t>Table 3.3  Reliability statistics for the 82-factor instrument (n = 1,300)</w:t>
      </w:r>
    </w:p>
    <w:p>
      <w:pPr>
        <w:spacing w:before="160" w:after="40"/>
        <w:jc w:val="center"/>
      </w:pPr>
      <w:r>
        <w:drawing>
          <wp:inline xmlns:a="http://schemas.openxmlformats.org/drawingml/2006/main" xmlns:pic="http://schemas.openxmlformats.org/drawingml/2006/picture">
            <wp:extent cx="5486400" cy="3973171"/>
            <wp:docPr id="8" name="Picture 8"/>
            <wp:cNvGraphicFramePr>
              <a:graphicFrameLocks noChangeAspect="1"/>
            </wp:cNvGraphicFramePr>
            <a:graphic>
              <a:graphicData uri="http://schemas.openxmlformats.org/drawingml/2006/picture">
                <pic:pic>
                  <pic:nvPicPr>
                    <pic:cNvPr id="0" name="fig_3_9_cronbach.png"/>
                    <pic:cNvPicPr/>
                  </pic:nvPicPr>
                  <pic:blipFill>
                    <a:blip r:embed="rId16"/>
                    <a:stretch>
                      <a:fillRect/>
                    </a:stretch>
                  </pic:blipFill>
                  <pic:spPr>
                    <a:xfrm>
                      <a:off x="0" y="0"/>
                      <a:ext cx="5486400" cy="3973171"/>
                    </a:xfrm>
                    <a:prstGeom prst="rect"/>
                  </pic:spPr>
                </pic:pic>
              </a:graphicData>
            </a:graphic>
          </wp:inline>
        </w:drawing>
      </w:r>
    </w:p>
    <w:p>
      <w:pPr>
        <w:spacing w:before="40" w:after="160"/>
        <w:jc w:val="center"/>
      </w:pPr>
      <w:r>
        <w:rPr>
          <w:rFonts w:ascii="Times New Roman" w:hAnsi="Times New Roman" w:cs="Times New Roman"/>
          <w:b/>
          <w:i/>
          <w:sz w:val="22"/>
        </w:rPr>
        <w:t>Figure 3.8  Reliability of the 15 sub-scales – Cronbach's α (n = 1,300)</w:t>
      </w:r>
    </w:p>
    <w:p>
      <w:pPr>
        <w:spacing w:line="360" w:lineRule="auto" w:after="120"/>
        <w:ind w:firstLine="425"/>
        <w:jc w:val="both"/>
      </w:pPr>
      <w:r>
        <w:rPr>
          <w:rFonts w:ascii="Times New Roman" w:hAnsi="Times New Roman" w:cs="Times New Roman"/>
          <w:b w:val="0"/>
          <w:i w:val="0"/>
          <w:sz w:val="24"/>
        </w:rPr>
        <w:t>All sub-scales report Cronbach's alpha well above the conventional threshold of 0.70, and the average inter-item correlation lies between 0.52 and 0.66, which is comfortably inside the recommended band of 0.20 to 0.70 (Briggs and Cheek, 1986). The instrument is therefore both internally consistent and not redundant.</w:t>
      </w:r>
    </w:p>
    <w:p>
      <w:pPr>
        <w:keepNext/>
        <w:spacing w:before="240" w:after="120"/>
        <w:jc w:val="left"/>
      </w:pPr>
      <w:r>
        <w:rPr>
          <w:rFonts w:ascii="Times New Roman" w:hAnsi="Times New Roman" w:cs="Times New Roman"/>
          <w:b/>
          <w:i w:val="0"/>
          <w:sz w:val="28"/>
        </w:rPr>
        <w:t>3.8  Final List of 82 Validated Factors</w:t>
      </w:r>
    </w:p>
    <w:p>
      <w:pPr>
        <w:spacing w:line="360" w:lineRule="auto" w:after="120"/>
        <w:ind w:firstLine="425"/>
        <w:jc w:val="both"/>
      </w:pPr>
      <w:r>
        <w:rPr>
          <w:rFonts w:ascii="Times New Roman" w:hAnsi="Times New Roman" w:cs="Times New Roman"/>
          <w:b w:val="0"/>
          <w:i w:val="0"/>
          <w:sz w:val="24"/>
        </w:rPr>
        <w:t>The final 82 factors retained for analysis are listed below, organised stage-wise and dimension-wise. These factors form the input set for the Fuzzy AHP weighting and the ELECTRE ranking procedures.</w:t>
      </w:r>
    </w:p>
    <w:p>
      <w:pPr>
        <w:keepNext/>
        <w:spacing w:before="160" w:after="80"/>
      </w:pPr>
      <w:r>
        <w:rPr>
          <w:rFonts w:ascii="Times New Roman" w:hAnsi="Times New Roman" w:cs="Times New Roman"/>
          <w:b/>
          <w:i/>
          <w:sz w:val="24"/>
        </w:rPr>
        <w:t>Farm-stage Cost Factors (7 items)</w:t>
      </w:r>
    </w:p>
    <w:p>
      <w:pPr>
        <w:spacing w:after="40" w:line="276" w:lineRule="auto"/>
        <w:ind w:left="340"/>
      </w:pPr>
      <w:r>
        <w:rPr>
          <w:rFonts w:ascii="Times New Roman" w:hAnsi="Times New Roman" w:cs="Times New Roman"/>
          <w:b w:val="0"/>
          <w:i w:val="0"/>
          <w:sz w:val="24"/>
        </w:rPr>
        <w:t>F_COST_1  Labour cost for harvesting</w:t>
      </w:r>
    </w:p>
    <w:p>
      <w:pPr>
        <w:spacing w:after="40" w:line="276" w:lineRule="auto"/>
        <w:ind w:left="340"/>
      </w:pPr>
      <w:r>
        <w:rPr>
          <w:rFonts w:ascii="Times New Roman" w:hAnsi="Times New Roman" w:cs="Times New Roman"/>
          <w:b w:val="0"/>
          <w:i w:val="0"/>
          <w:sz w:val="24"/>
        </w:rPr>
        <w:t>F_COST_2  Basket / crate material cost</w:t>
      </w:r>
    </w:p>
    <w:p>
      <w:pPr>
        <w:spacing w:after="40" w:line="276" w:lineRule="auto"/>
        <w:ind w:left="340"/>
      </w:pPr>
      <w:r>
        <w:rPr>
          <w:rFonts w:ascii="Times New Roman" w:hAnsi="Times New Roman" w:cs="Times New Roman"/>
          <w:b w:val="0"/>
          <w:i w:val="0"/>
          <w:sz w:val="24"/>
        </w:rPr>
        <w:t>F_COST_3  Grading and sorting cost</w:t>
      </w:r>
    </w:p>
    <w:p>
      <w:pPr>
        <w:spacing w:after="40" w:line="276" w:lineRule="auto"/>
        <w:ind w:left="340"/>
      </w:pPr>
      <w:r>
        <w:rPr>
          <w:rFonts w:ascii="Times New Roman" w:hAnsi="Times New Roman" w:cs="Times New Roman"/>
          <w:b w:val="0"/>
          <w:i w:val="0"/>
          <w:sz w:val="24"/>
        </w:rPr>
        <w:t>F_COST_4  Packaging material cost</w:t>
      </w:r>
    </w:p>
    <w:p>
      <w:pPr>
        <w:spacing w:after="40" w:line="276" w:lineRule="auto"/>
        <w:ind w:left="340"/>
      </w:pPr>
      <w:r>
        <w:rPr>
          <w:rFonts w:ascii="Times New Roman" w:hAnsi="Times New Roman" w:cs="Times New Roman"/>
          <w:b w:val="0"/>
          <w:i w:val="0"/>
          <w:sz w:val="24"/>
        </w:rPr>
        <w:t>F_COST_5  On-farm storage cost</w:t>
      </w:r>
    </w:p>
    <w:p>
      <w:pPr>
        <w:spacing w:after="40" w:line="276" w:lineRule="auto"/>
        <w:ind w:left="340"/>
      </w:pPr>
      <w:r>
        <w:rPr>
          <w:rFonts w:ascii="Times New Roman" w:hAnsi="Times New Roman" w:cs="Times New Roman"/>
          <w:b w:val="0"/>
          <w:i w:val="0"/>
          <w:sz w:val="24"/>
        </w:rPr>
        <w:t>F_COST_6  Loading / unloading charges</w:t>
      </w:r>
    </w:p>
    <w:p>
      <w:pPr>
        <w:spacing w:after="40" w:line="276" w:lineRule="auto"/>
        <w:ind w:left="340"/>
      </w:pPr>
      <w:r>
        <w:rPr>
          <w:rFonts w:ascii="Times New Roman" w:hAnsi="Times New Roman" w:cs="Times New Roman"/>
          <w:b w:val="0"/>
          <w:i w:val="0"/>
          <w:sz w:val="24"/>
        </w:rPr>
        <w:t>F_COST_7  Local transportation cost</w:t>
      </w:r>
    </w:p>
    <w:p>
      <w:pPr>
        <w:keepNext/>
        <w:spacing w:before="160" w:after="80"/>
      </w:pPr>
      <w:r>
        <w:rPr>
          <w:rFonts w:ascii="Times New Roman" w:hAnsi="Times New Roman" w:cs="Times New Roman"/>
          <w:b/>
          <w:i/>
          <w:sz w:val="24"/>
        </w:rPr>
        <w:t>Farm-stage Time Factors (6 items)</w:t>
      </w:r>
    </w:p>
    <w:p>
      <w:pPr>
        <w:spacing w:after="40" w:line="276" w:lineRule="auto"/>
        <w:ind w:left="340"/>
      </w:pPr>
      <w:r>
        <w:rPr>
          <w:rFonts w:ascii="Times New Roman" w:hAnsi="Times New Roman" w:cs="Times New Roman"/>
          <w:b w:val="0"/>
          <w:i w:val="0"/>
          <w:sz w:val="24"/>
        </w:rPr>
        <w:t>F_TIME_1  Harvesting time</w:t>
      </w:r>
    </w:p>
    <w:p>
      <w:pPr>
        <w:spacing w:after="40" w:line="276" w:lineRule="auto"/>
        <w:ind w:left="340"/>
      </w:pPr>
      <w:r>
        <w:rPr>
          <w:rFonts w:ascii="Times New Roman" w:hAnsi="Times New Roman" w:cs="Times New Roman"/>
          <w:b w:val="0"/>
          <w:i w:val="0"/>
          <w:sz w:val="24"/>
        </w:rPr>
        <w:t>F_TIME_2  Sorting and grading time</w:t>
      </w:r>
    </w:p>
    <w:p>
      <w:pPr>
        <w:spacing w:after="40" w:line="276" w:lineRule="auto"/>
        <w:ind w:left="340"/>
      </w:pPr>
      <w:r>
        <w:rPr>
          <w:rFonts w:ascii="Times New Roman" w:hAnsi="Times New Roman" w:cs="Times New Roman"/>
          <w:b w:val="0"/>
          <w:i w:val="0"/>
          <w:sz w:val="24"/>
        </w:rPr>
        <w:t>F_TIME_3  Packaging time</w:t>
      </w:r>
    </w:p>
    <w:p>
      <w:pPr>
        <w:spacing w:after="40" w:line="276" w:lineRule="auto"/>
        <w:ind w:left="340"/>
      </w:pPr>
      <w:r>
        <w:rPr>
          <w:rFonts w:ascii="Times New Roman" w:hAnsi="Times New Roman" w:cs="Times New Roman"/>
          <w:b w:val="0"/>
          <w:i w:val="0"/>
          <w:sz w:val="24"/>
        </w:rPr>
        <w:t>F_TIME_4  Waiting time for transport</w:t>
      </w:r>
    </w:p>
    <w:p>
      <w:pPr>
        <w:spacing w:after="40" w:line="276" w:lineRule="auto"/>
        <w:ind w:left="340"/>
      </w:pPr>
      <w:r>
        <w:rPr>
          <w:rFonts w:ascii="Times New Roman" w:hAnsi="Times New Roman" w:cs="Times New Roman"/>
          <w:b w:val="0"/>
          <w:i w:val="0"/>
          <w:sz w:val="24"/>
        </w:rPr>
        <w:t>F_TIME_5  Loading time</w:t>
      </w:r>
    </w:p>
    <w:p>
      <w:pPr>
        <w:spacing w:after="40" w:line="276" w:lineRule="auto"/>
        <w:ind w:left="340"/>
      </w:pPr>
      <w:r>
        <w:rPr>
          <w:rFonts w:ascii="Times New Roman" w:hAnsi="Times New Roman" w:cs="Times New Roman"/>
          <w:b w:val="0"/>
          <w:i w:val="0"/>
          <w:sz w:val="24"/>
        </w:rPr>
        <w:t>F_TIME_6  Transit time to market</w:t>
      </w:r>
    </w:p>
    <w:p>
      <w:pPr>
        <w:keepNext/>
        <w:spacing w:before="160" w:after="80"/>
      </w:pPr>
      <w:r>
        <w:rPr>
          <w:rFonts w:ascii="Times New Roman" w:hAnsi="Times New Roman" w:cs="Times New Roman"/>
          <w:b/>
          <w:i/>
          <w:sz w:val="24"/>
        </w:rPr>
        <w:t>Farm-stage Quality Factors (6 items)</w:t>
      </w:r>
    </w:p>
    <w:p>
      <w:pPr>
        <w:spacing w:after="40" w:line="276" w:lineRule="auto"/>
        <w:ind w:left="340"/>
      </w:pPr>
      <w:r>
        <w:rPr>
          <w:rFonts w:ascii="Times New Roman" w:hAnsi="Times New Roman" w:cs="Times New Roman"/>
          <w:b w:val="0"/>
          <w:i w:val="0"/>
          <w:sz w:val="24"/>
        </w:rPr>
        <w:t>F_QUAL_1  Harvesting method impact on fruit quality</w:t>
      </w:r>
    </w:p>
    <w:p>
      <w:pPr>
        <w:spacing w:after="40" w:line="276" w:lineRule="auto"/>
        <w:ind w:left="340"/>
      </w:pPr>
      <w:r>
        <w:rPr>
          <w:rFonts w:ascii="Times New Roman" w:hAnsi="Times New Roman" w:cs="Times New Roman"/>
          <w:b w:val="0"/>
          <w:i w:val="0"/>
          <w:sz w:val="24"/>
        </w:rPr>
        <w:t>F_QUAL_2  Handling during collection</w:t>
      </w:r>
    </w:p>
    <w:p>
      <w:pPr>
        <w:spacing w:after="40" w:line="276" w:lineRule="auto"/>
        <w:ind w:left="340"/>
      </w:pPr>
      <w:r>
        <w:rPr>
          <w:rFonts w:ascii="Times New Roman" w:hAnsi="Times New Roman" w:cs="Times New Roman"/>
          <w:b w:val="0"/>
          <w:i w:val="0"/>
          <w:sz w:val="24"/>
        </w:rPr>
        <w:t>F_QUAL_3  Grading accuracy</w:t>
      </w:r>
    </w:p>
    <w:p>
      <w:pPr>
        <w:spacing w:after="40" w:line="276" w:lineRule="auto"/>
        <w:ind w:left="340"/>
      </w:pPr>
      <w:r>
        <w:rPr>
          <w:rFonts w:ascii="Times New Roman" w:hAnsi="Times New Roman" w:cs="Times New Roman"/>
          <w:b w:val="0"/>
          <w:i w:val="0"/>
          <w:sz w:val="24"/>
        </w:rPr>
        <w:t>F_QUAL_4  Packaging quality</w:t>
      </w:r>
    </w:p>
    <w:p>
      <w:pPr>
        <w:spacing w:after="40" w:line="276" w:lineRule="auto"/>
        <w:ind w:left="340"/>
      </w:pPr>
      <w:r>
        <w:rPr>
          <w:rFonts w:ascii="Times New Roman" w:hAnsi="Times New Roman" w:cs="Times New Roman"/>
          <w:b w:val="0"/>
          <w:i w:val="0"/>
          <w:sz w:val="24"/>
        </w:rPr>
        <w:t>F_QUAL_5  Storage temperature control</w:t>
      </w:r>
    </w:p>
    <w:p>
      <w:pPr>
        <w:spacing w:after="40" w:line="276" w:lineRule="auto"/>
        <w:ind w:left="340"/>
      </w:pPr>
      <w:r>
        <w:rPr>
          <w:rFonts w:ascii="Times New Roman" w:hAnsi="Times New Roman" w:cs="Times New Roman"/>
          <w:b w:val="0"/>
          <w:i w:val="0"/>
          <w:sz w:val="24"/>
        </w:rPr>
        <w:t>F_QUAL_6  Transit handling quality</w:t>
      </w:r>
    </w:p>
    <w:p>
      <w:pPr>
        <w:keepNext/>
        <w:spacing w:before="160" w:after="80"/>
      </w:pPr>
      <w:r>
        <w:rPr>
          <w:rFonts w:ascii="Times New Roman" w:hAnsi="Times New Roman" w:cs="Times New Roman"/>
          <w:b/>
          <w:i/>
          <w:sz w:val="24"/>
        </w:rPr>
        <w:t>Local-Trader / Commission-Agent Cost Factors (6 items)</w:t>
      </w:r>
    </w:p>
    <w:p>
      <w:pPr>
        <w:spacing w:after="40" w:line="276" w:lineRule="auto"/>
        <w:ind w:left="340"/>
      </w:pPr>
      <w:r>
        <w:rPr>
          <w:rFonts w:ascii="Times New Roman" w:hAnsi="Times New Roman" w:cs="Times New Roman"/>
          <w:b w:val="0"/>
          <w:i w:val="0"/>
          <w:sz w:val="24"/>
        </w:rPr>
        <w:t>T_COST_1  Purchase price from farmers</w:t>
      </w:r>
    </w:p>
    <w:p>
      <w:pPr>
        <w:spacing w:after="40" w:line="276" w:lineRule="auto"/>
        <w:ind w:left="340"/>
      </w:pPr>
      <w:r>
        <w:rPr>
          <w:rFonts w:ascii="Times New Roman" w:hAnsi="Times New Roman" w:cs="Times New Roman"/>
          <w:b w:val="0"/>
          <w:i w:val="0"/>
          <w:sz w:val="24"/>
        </w:rPr>
        <w:t>T_COST_2  Transportation to trader premises</w:t>
      </w:r>
    </w:p>
    <w:p>
      <w:pPr>
        <w:spacing w:after="40" w:line="276" w:lineRule="auto"/>
        <w:ind w:left="340"/>
      </w:pPr>
      <w:r>
        <w:rPr>
          <w:rFonts w:ascii="Times New Roman" w:hAnsi="Times New Roman" w:cs="Times New Roman"/>
          <w:b w:val="0"/>
          <w:i w:val="0"/>
          <w:sz w:val="24"/>
        </w:rPr>
        <w:t>T_COST_3  Storage and handling charges</w:t>
      </w:r>
    </w:p>
    <w:p>
      <w:pPr>
        <w:spacing w:after="40" w:line="276" w:lineRule="auto"/>
        <w:ind w:left="340"/>
      </w:pPr>
      <w:r>
        <w:rPr>
          <w:rFonts w:ascii="Times New Roman" w:hAnsi="Times New Roman" w:cs="Times New Roman"/>
          <w:b w:val="0"/>
          <w:i w:val="0"/>
          <w:sz w:val="24"/>
        </w:rPr>
        <w:t>T_COST_4  Re-grading and re-packaging cost</w:t>
      </w:r>
    </w:p>
    <w:p>
      <w:pPr>
        <w:spacing w:after="40" w:line="276" w:lineRule="auto"/>
        <w:ind w:left="340"/>
      </w:pPr>
      <w:r>
        <w:rPr>
          <w:rFonts w:ascii="Times New Roman" w:hAnsi="Times New Roman" w:cs="Times New Roman"/>
          <w:b w:val="0"/>
          <w:i w:val="0"/>
          <w:sz w:val="24"/>
        </w:rPr>
        <w:t>T_COST_5  Commission / agency charges</w:t>
      </w:r>
    </w:p>
    <w:p>
      <w:pPr>
        <w:spacing w:after="40" w:line="276" w:lineRule="auto"/>
        <w:ind w:left="340"/>
      </w:pPr>
      <w:r>
        <w:rPr>
          <w:rFonts w:ascii="Times New Roman" w:hAnsi="Times New Roman" w:cs="Times New Roman"/>
          <w:b w:val="0"/>
          <w:i w:val="0"/>
          <w:sz w:val="24"/>
        </w:rPr>
        <w:t>T_COST_6  Loading and transport to mandi cost</w:t>
      </w:r>
    </w:p>
    <w:p>
      <w:pPr>
        <w:keepNext/>
        <w:spacing w:before="160" w:after="80"/>
      </w:pPr>
      <w:r>
        <w:rPr>
          <w:rFonts w:ascii="Times New Roman" w:hAnsi="Times New Roman" w:cs="Times New Roman"/>
          <w:b/>
          <w:i/>
          <w:sz w:val="24"/>
        </w:rPr>
        <w:t>Local-Trader / Commission-Agent Time Factors (5 items)</w:t>
      </w:r>
    </w:p>
    <w:p>
      <w:pPr>
        <w:spacing w:after="40" w:line="276" w:lineRule="auto"/>
        <w:ind w:left="340"/>
      </w:pPr>
      <w:r>
        <w:rPr>
          <w:rFonts w:ascii="Times New Roman" w:hAnsi="Times New Roman" w:cs="Times New Roman"/>
          <w:b w:val="0"/>
          <w:i w:val="0"/>
          <w:sz w:val="24"/>
        </w:rPr>
        <w:t>T_TIME_1  Collection time from multiple farmers</w:t>
      </w:r>
    </w:p>
    <w:p>
      <w:pPr>
        <w:spacing w:after="40" w:line="276" w:lineRule="auto"/>
        <w:ind w:left="340"/>
      </w:pPr>
      <w:r>
        <w:rPr>
          <w:rFonts w:ascii="Times New Roman" w:hAnsi="Times New Roman" w:cs="Times New Roman"/>
          <w:b w:val="0"/>
          <w:i w:val="0"/>
          <w:sz w:val="24"/>
        </w:rPr>
        <w:t>T_TIME_2  Quality inspection time</w:t>
      </w:r>
    </w:p>
    <w:p>
      <w:pPr>
        <w:spacing w:after="40" w:line="276" w:lineRule="auto"/>
        <w:ind w:left="340"/>
      </w:pPr>
      <w:r>
        <w:rPr>
          <w:rFonts w:ascii="Times New Roman" w:hAnsi="Times New Roman" w:cs="Times New Roman"/>
          <w:b w:val="0"/>
          <w:i w:val="0"/>
          <w:sz w:val="24"/>
        </w:rPr>
        <w:t>T_TIME_3  Re-sorting time</w:t>
      </w:r>
    </w:p>
    <w:p>
      <w:pPr>
        <w:spacing w:after="40" w:line="276" w:lineRule="auto"/>
        <w:ind w:left="340"/>
      </w:pPr>
      <w:r>
        <w:rPr>
          <w:rFonts w:ascii="Times New Roman" w:hAnsi="Times New Roman" w:cs="Times New Roman"/>
          <w:b w:val="0"/>
          <w:i w:val="0"/>
          <w:sz w:val="24"/>
        </w:rPr>
        <w:t>T_TIME_4  Storage duration</w:t>
      </w:r>
    </w:p>
    <w:p>
      <w:pPr>
        <w:spacing w:after="40" w:line="276" w:lineRule="auto"/>
        <w:ind w:left="340"/>
      </w:pPr>
      <w:r>
        <w:rPr>
          <w:rFonts w:ascii="Times New Roman" w:hAnsi="Times New Roman" w:cs="Times New Roman"/>
          <w:b w:val="0"/>
          <w:i w:val="0"/>
          <w:sz w:val="24"/>
        </w:rPr>
        <w:t>T_TIME_5  Transport waiting time</w:t>
      </w:r>
    </w:p>
    <w:p>
      <w:pPr>
        <w:keepNext/>
        <w:spacing w:before="160" w:after="80"/>
      </w:pPr>
      <w:r>
        <w:rPr>
          <w:rFonts w:ascii="Times New Roman" w:hAnsi="Times New Roman" w:cs="Times New Roman"/>
          <w:b/>
          <w:i/>
          <w:sz w:val="24"/>
        </w:rPr>
        <w:t>Local-Trader / Commission-Agent Quality Factors (5 items)</w:t>
      </w:r>
    </w:p>
    <w:p>
      <w:pPr>
        <w:spacing w:after="40" w:line="276" w:lineRule="auto"/>
        <w:ind w:left="340"/>
      </w:pPr>
      <w:r>
        <w:rPr>
          <w:rFonts w:ascii="Times New Roman" w:hAnsi="Times New Roman" w:cs="Times New Roman"/>
          <w:b w:val="0"/>
          <w:i w:val="0"/>
          <w:sz w:val="24"/>
        </w:rPr>
        <w:t>T_QUAL_1  Initial quality assessment</w:t>
      </w:r>
    </w:p>
    <w:p>
      <w:pPr>
        <w:spacing w:after="40" w:line="276" w:lineRule="auto"/>
        <w:ind w:left="340"/>
      </w:pPr>
      <w:r>
        <w:rPr>
          <w:rFonts w:ascii="Times New Roman" w:hAnsi="Times New Roman" w:cs="Times New Roman"/>
          <w:b w:val="0"/>
          <w:i w:val="0"/>
          <w:sz w:val="24"/>
        </w:rPr>
        <w:t>T_QUAL_2  Storage condition maintenance</w:t>
      </w:r>
    </w:p>
    <w:p>
      <w:pPr>
        <w:spacing w:after="40" w:line="276" w:lineRule="auto"/>
        <w:ind w:left="340"/>
      </w:pPr>
      <w:r>
        <w:rPr>
          <w:rFonts w:ascii="Times New Roman" w:hAnsi="Times New Roman" w:cs="Times New Roman"/>
          <w:b w:val="0"/>
          <w:i w:val="0"/>
          <w:sz w:val="24"/>
        </w:rPr>
        <w:t>T_QUAL_3  Handling during re-grading</w:t>
      </w:r>
    </w:p>
    <w:p>
      <w:pPr>
        <w:spacing w:after="40" w:line="276" w:lineRule="auto"/>
        <w:ind w:left="340"/>
      </w:pPr>
      <w:r>
        <w:rPr>
          <w:rFonts w:ascii="Times New Roman" w:hAnsi="Times New Roman" w:cs="Times New Roman"/>
          <w:b w:val="0"/>
          <w:i w:val="0"/>
          <w:sz w:val="24"/>
        </w:rPr>
        <w:t>T_QUAL_4  Packaging quality control</w:t>
      </w:r>
    </w:p>
    <w:p>
      <w:pPr>
        <w:spacing w:after="40" w:line="276" w:lineRule="auto"/>
        <w:ind w:left="340"/>
      </w:pPr>
      <w:r>
        <w:rPr>
          <w:rFonts w:ascii="Times New Roman" w:hAnsi="Times New Roman" w:cs="Times New Roman"/>
          <w:b w:val="0"/>
          <w:i w:val="0"/>
          <w:sz w:val="24"/>
        </w:rPr>
        <w:t>T_QUAL_5  Transit quality management</w:t>
      </w:r>
    </w:p>
    <w:p>
      <w:pPr>
        <w:keepNext/>
        <w:spacing w:before="160" w:after="80"/>
      </w:pPr>
      <w:r>
        <w:rPr>
          <w:rFonts w:ascii="Times New Roman" w:hAnsi="Times New Roman" w:cs="Times New Roman"/>
          <w:b/>
          <w:i/>
          <w:sz w:val="24"/>
        </w:rPr>
        <w:t>Wholesale / Mandi Cost Factors (6 items)</w:t>
      </w:r>
    </w:p>
    <w:p>
      <w:pPr>
        <w:spacing w:after="40" w:line="276" w:lineRule="auto"/>
        <w:ind w:left="340"/>
      </w:pPr>
      <w:r>
        <w:rPr>
          <w:rFonts w:ascii="Times New Roman" w:hAnsi="Times New Roman" w:cs="Times New Roman"/>
          <w:b w:val="0"/>
          <w:i w:val="0"/>
          <w:sz w:val="24"/>
        </w:rPr>
        <w:t>M_COST_1  Mandi entry fee</w:t>
      </w:r>
    </w:p>
    <w:p>
      <w:pPr>
        <w:spacing w:after="40" w:line="276" w:lineRule="auto"/>
        <w:ind w:left="340"/>
      </w:pPr>
      <w:r>
        <w:rPr>
          <w:rFonts w:ascii="Times New Roman" w:hAnsi="Times New Roman" w:cs="Times New Roman"/>
          <w:b w:val="0"/>
          <w:i w:val="0"/>
          <w:sz w:val="24"/>
        </w:rPr>
        <w:t>M_COST_2  Weighing charges</w:t>
      </w:r>
    </w:p>
    <w:p>
      <w:pPr>
        <w:spacing w:after="40" w:line="276" w:lineRule="auto"/>
        <w:ind w:left="340"/>
      </w:pPr>
      <w:r>
        <w:rPr>
          <w:rFonts w:ascii="Times New Roman" w:hAnsi="Times New Roman" w:cs="Times New Roman"/>
          <w:b w:val="0"/>
          <w:i w:val="0"/>
          <w:sz w:val="24"/>
        </w:rPr>
        <w:t>M_COST_3  Storage rent at mandi</w:t>
      </w:r>
    </w:p>
    <w:p>
      <w:pPr>
        <w:spacing w:after="40" w:line="276" w:lineRule="auto"/>
        <w:ind w:left="340"/>
      </w:pPr>
      <w:r>
        <w:rPr>
          <w:rFonts w:ascii="Times New Roman" w:hAnsi="Times New Roman" w:cs="Times New Roman"/>
          <w:b w:val="0"/>
          <w:i w:val="0"/>
          <w:sz w:val="24"/>
        </w:rPr>
        <w:t>M_COST_4  Commission agent charges</w:t>
      </w:r>
    </w:p>
    <w:p>
      <w:pPr>
        <w:spacing w:after="40" w:line="276" w:lineRule="auto"/>
        <w:ind w:left="340"/>
      </w:pPr>
      <w:r>
        <w:rPr>
          <w:rFonts w:ascii="Times New Roman" w:hAnsi="Times New Roman" w:cs="Times New Roman"/>
          <w:b w:val="0"/>
          <w:i w:val="0"/>
          <w:sz w:val="24"/>
        </w:rPr>
        <w:t>M_COST_5  Loading / unloading labour cost</w:t>
      </w:r>
    </w:p>
    <w:p>
      <w:pPr>
        <w:spacing w:after="40" w:line="276" w:lineRule="auto"/>
        <w:ind w:left="340"/>
      </w:pPr>
      <w:r>
        <w:rPr>
          <w:rFonts w:ascii="Times New Roman" w:hAnsi="Times New Roman" w:cs="Times New Roman"/>
          <w:b w:val="0"/>
          <w:i w:val="0"/>
          <w:sz w:val="24"/>
        </w:rPr>
        <w:t>M_COST_6  Transportation to retailer cost</w:t>
      </w:r>
    </w:p>
    <w:p>
      <w:pPr>
        <w:keepNext/>
        <w:spacing w:before="160" w:after="80"/>
      </w:pPr>
      <w:r>
        <w:rPr>
          <w:rFonts w:ascii="Times New Roman" w:hAnsi="Times New Roman" w:cs="Times New Roman"/>
          <w:b/>
          <w:i/>
          <w:sz w:val="24"/>
        </w:rPr>
        <w:t>Wholesale / Mandi Time Factors (5 items)</w:t>
      </w:r>
    </w:p>
    <w:p>
      <w:pPr>
        <w:spacing w:after="40" w:line="276" w:lineRule="auto"/>
        <w:ind w:left="340"/>
      </w:pPr>
      <w:r>
        <w:rPr>
          <w:rFonts w:ascii="Times New Roman" w:hAnsi="Times New Roman" w:cs="Times New Roman"/>
          <w:b w:val="0"/>
          <w:i w:val="0"/>
          <w:sz w:val="24"/>
        </w:rPr>
        <w:t>M_TIME_1  Unloading and entry time</w:t>
      </w:r>
    </w:p>
    <w:p>
      <w:pPr>
        <w:spacing w:after="40" w:line="276" w:lineRule="auto"/>
        <w:ind w:left="340"/>
      </w:pPr>
      <w:r>
        <w:rPr>
          <w:rFonts w:ascii="Times New Roman" w:hAnsi="Times New Roman" w:cs="Times New Roman"/>
          <w:b w:val="0"/>
          <w:i w:val="0"/>
          <w:sz w:val="24"/>
        </w:rPr>
        <w:t>M_TIME_2  Waiting time for auction</w:t>
      </w:r>
    </w:p>
    <w:p>
      <w:pPr>
        <w:spacing w:after="40" w:line="276" w:lineRule="auto"/>
        <w:ind w:left="340"/>
      </w:pPr>
      <w:r>
        <w:rPr>
          <w:rFonts w:ascii="Times New Roman" w:hAnsi="Times New Roman" w:cs="Times New Roman"/>
          <w:b w:val="0"/>
          <w:i w:val="0"/>
          <w:sz w:val="24"/>
        </w:rPr>
        <w:t>M_TIME_3  Auction duration</w:t>
      </w:r>
    </w:p>
    <w:p>
      <w:pPr>
        <w:spacing w:after="40" w:line="276" w:lineRule="auto"/>
        <w:ind w:left="340"/>
      </w:pPr>
      <w:r>
        <w:rPr>
          <w:rFonts w:ascii="Times New Roman" w:hAnsi="Times New Roman" w:cs="Times New Roman"/>
          <w:b w:val="0"/>
          <w:i w:val="0"/>
          <w:sz w:val="24"/>
        </w:rPr>
        <w:t>M_TIME_4  Payment settlement time</w:t>
      </w:r>
    </w:p>
    <w:p>
      <w:pPr>
        <w:spacing w:after="40" w:line="276" w:lineRule="auto"/>
        <w:ind w:left="340"/>
      </w:pPr>
      <w:r>
        <w:rPr>
          <w:rFonts w:ascii="Times New Roman" w:hAnsi="Times New Roman" w:cs="Times New Roman"/>
          <w:b w:val="0"/>
          <w:i w:val="0"/>
          <w:sz w:val="24"/>
        </w:rPr>
        <w:t>M_TIME_5  Loading time for dispatch</w:t>
      </w:r>
    </w:p>
    <w:p>
      <w:pPr>
        <w:keepNext/>
        <w:spacing w:before="160" w:after="80"/>
      </w:pPr>
      <w:r>
        <w:rPr>
          <w:rFonts w:ascii="Times New Roman" w:hAnsi="Times New Roman" w:cs="Times New Roman"/>
          <w:b/>
          <w:i/>
          <w:sz w:val="24"/>
        </w:rPr>
        <w:t>Wholesale / Mandi Quality Factors (5 items)</w:t>
      </w:r>
    </w:p>
    <w:p>
      <w:pPr>
        <w:spacing w:after="40" w:line="276" w:lineRule="auto"/>
        <w:ind w:left="340"/>
      </w:pPr>
      <w:r>
        <w:rPr>
          <w:rFonts w:ascii="Times New Roman" w:hAnsi="Times New Roman" w:cs="Times New Roman"/>
          <w:b w:val="0"/>
          <w:i w:val="0"/>
          <w:sz w:val="24"/>
        </w:rPr>
        <w:t>M_QUAL_1  Quality inspection at entry</w:t>
      </w:r>
    </w:p>
    <w:p>
      <w:pPr>
        <w:spacing w:after="40" w:line="276" w:lineRule="auto"/>
        <w:ind w:left="340"/>
      </w:pPr>
      <w:r>
        <w:rPr>
          <w:rFonts w:ascii="Times New Roman" w:hAnsi="Times New Roman" w:cs="Times New Roman"/>
          <w:b w:val="0"/>
          <w:i w:val="0"/>
          <w:sz w:val="24"/>
        </w:rPr>
        <w:t>M_QUAL_2  Storage conditions at mandi</w:t>
      </w:r>
    </w:p>
    <w:p>
      <w:pPr>
        <w:spacing w:after="40" w:line="276" w:lineRule="auto"/>
        <w:ind w:left="340"/>
      </w:pPr>
      <w:r>
        <w:rPr>
          <w:rFonts w:ascii="Times New Roman" w:hAnsi="Times New Roman" w:cs="Times New Roman"/>
          <w:b w:val="0"/>
          <w:i w:val="0"/>
          <w:sz w:val="24"/>
        </w:rPr>
        <w:t>M_QUAL_3  Handling during auction</w:t>
      </w:r>
    </w:p>
    <w:p>
      <w:pPr>
        <w:spacing w:after="40" w:line="276" w:lineRule="auto"/>
        <w:ind w:left="340"/>
      </w:pPr>
      <w:r>
        <w:rPr>
          <w:rFonts w:ascii="Times New Roman" w:hAnsi="Times New Roman" w:cs="Times New Roman"/>
          <w:b w:val="0"/>
          <w:i w:val="0"/>
          <w:sz w:val="24"/>
        </w:rPr>
        <w:t>M_QUAL_4  Grading verification</w:t>
      </w:r>
    </w:p>
    <w:p>
      <w:pPr>
        <w:spacing w:after="40" w:line="276" w:lineRule="auto"/>
        <w:ind w:left="340"/>
      </w:pPr>
      <w:r>
        <w:rPr>
          <w:rFonts w:ascii="Times New Roman" w:hAnsi="Times New Roman" w:cs="Times New Roman"/>
          <w:b w:val="0"/>
          <w:i w:val="0"/>
          <w:sz w:val="24"/>
        </w:rPr>
        <w:t>M_QUAL_5  Post-auction handling</w:t>
      </w:r>
    </w:p>
    <w:p>
      <w:pPr>
        <w:keepNext/>
        <w:spacing w:before="160" w:after="80"/>
      </w:pPr>
      <w:r>
        <w:rPr>
          <w:rFonts w:ascii="Times New Roman" w:hAnsi="Times New Roman" w:cs="Times New Roman"/>
          <w:b/>
          <w:i/>
          <w:sz w:val="24"/>
        </w:rPr>
        <w:t>Retailer Cost Factors (6 items)</w:t>
      </w:r>
    </w:p>
    <w:p>
      <w:pPr>
        <w:spacing w:after="40" w:line="276" w:lineRule="auto"/>
        <w:ind w:left="340"/>
      </w:pPr>
      <w:r>
        <w:rPr>
          <w:rFonts w:ascii="Times New Roman" w:hAnsi="Times New Roman" w:cs="Times New Roman"/>
          <w:b w:val="0"/>
          <w:i w:val="0"/>
          <w:sz w:val="24"/>
        </w:rPr>
        <w:t>R_COST_1  Purchase cost from mandi / wholesaler</w:t>
      </w:r>
    </w:p>
    <w:p>
      <w:pPr>
        <w:spacing w:after="40" w:line="276" w:lineRule="auto"/>
        <w:ind w:left="340"/>
      </w:pPr>
      <w:r>
        <w:rPr>
          <w:rFonts w:ascii="Times New Roman" w:hAnsi="Times New Roman" w:cs="Times New Roman"/>
          <w:b w:val="0"/>
          <w:i w:val="0"/>
          <w:sz w:val="24"/>
        </w:rPr>
        <w:t>R_COST_2  Transportation to retail outlet</w:t>
      </w:r>
    </w:p>
    <w:p>
      <w:pPr>
        <w:spacing w:after="40" w:line="276" w:lineRule="auto"/>
        <w:ind w:left="340"/>
      </w:pPr>
      <w:r>
        <w:rPr>
          <w:rFonts w:ascii="Times New Roman" w:hAnsi="Times New Roman" w:cs="Times New Roman"/>
          <w:b w:val="0"/>
          <w:i w:val="0"/>
          <w:sz w:val="24"/>
        </w:rPr>
        <w:t>R_COST_3  Storage and display cost</w:t>
      </w:r>
    </w:p>
    <w:p>
      <w:pPr>
        <w:spacing w:after="40" w:line="276" w:lineRule="auto"/>
        <w:ind w:left="340"/>
      </w:pPr>
      <w:r>
        <w:rPr>
          <w:rFonts w:ascii="Times New Roman" w:hAnsi="Times New Roman" w:cs="Times New Roman"/>
          <w:b w:val="0"/>
          <w:i w:val="0"/>
          <w:sz w:val="24"/>
        </w:rPr>
        <w:t>R_COST_4  Wastage and spoilage cost</w:t>
      </w:r>
    </w:p>
    <w:p>
      <w:pPr>
        <w:spacing w:after="40" w:line="276" w:lineRule="auto"/>
        <w:ind w:left="340"/>
      </w:pPr>
      <w:r>
        <w:rPr>
          <w:rFonts w:ascii="Times New Roman" w:hAnsi="Times New Roman" w:cs="Times New Roman"/>
          <w:b w:val="0"/>
          <w:i w:val="0"/>
          <w:sz w:val="24"/>
        </w:rPr>
        <w:t>R_COST_5  Retail space rent</w:t>
      </w:r>
    </w:p>
    <w:p>
      <w:pPr>
        <w:spacing w:after="40" w:line="276" w:lineRule="auto"/>
        <w:ind w:left="340"/>
      </w:pPr>
      <w:r>
        <w:rPr>
          <w:rFonts w:ascii="Times New Roman" w:hAnsi="Times New Roman" w:cs="Times New Roman"/>
          <w:b w:val="0"/>
          <w:i w:val="0"/>
          <w:sz w:val="24"/>
        </w:rPr>
        <w:t>R_COST_6  Handling and labour cost</w:t>
      </w:r>
    </w:p>
    <w:p>
      <w:pPr>
        <w:keepNext/>
        <w:spacing w:before="160" w:after="80"/>
      </w:pPr>
      <w:r>
        <w:rPr>
          <w:rFonts w:ascii="Times New Roman" w:hAnsi="Times New Roman" w:cs="Times New Roman"/>
          <w:b/>
          <w:i/>
          <w:sz w:val="24"/>
        </w:rPr>
        <w:t>Retailer Time Factors (4 items)</w:t>
      </w:r>
    </w:p>
    <w:p>
      <w:pPr>
        <w:spacing w:after="40" w:line="276" w:lineRule="auto"/>
        <w:ind w:left="340"/>
      </w:pPr>
      <w:r>
        <w:rPr>
          <w:rFonts w:ascii="Times New Roman" w:hAnsi="Times New Roman" w:cs="Times New Roman"/>
          <w:b w:val="0"/>
          <w:i w:val="0"/>
          <w:sz w:val="24"/>
        </w:rPr>
        <w:t>R_TIME_1  Procurement time</w:t>
      </w:r>
    </w:p>
    <w:p>
      <w:pPr>
        <w:spacing w:after="40" w:line="276" w:lineRule="auto"/>
        <w:ind w:left="340"/>
      </w:pPr>
      <w:r>
        <w:rPr>
          <w:rFonts w:ascii="Times New Roman" w:hAnsi="Times New Roman" w:cs="Times New Roman"/>
          <w:b w:val="0"/>
          <w:i w:val="0"/>
          <w:sz w:val="24"/>
        </w:rPr>
        <w:t>R_TIME_2  Display arrangement time</w:t>
      </w:r>
    </w:p>
    <w:p>
      <w:pPr>
        <w:spacing w:after="40" w:line="276" w:lineRule="auto"/>
        <w:ind w:left="340"/>
      </w:pPr>
      <w:r>
        <w:rPr>
          <w:rFonts w:ascii="Times New Roman" w:hAnsi="Times New Roman" w:cs="Times New Roman"/>
          <w:b w:val="0"/>
          <w:i w:val="0"/>
          <w:sz w:val="24"/>
        </w:rPr>
        <w:t>R_TIME_3  Customer service time</w:t>
      </w:r>
    </w:p>
    <w:p>
      <w:pPr>
        <w:spacing w:after="40" w:line="276" w:lineRule="auto"/>
        <w:ind w:left="340"/>
      </w:pPr>
      <w:r>
        <w:rPr>
          <w:rFonts w:ascii="Times New Roman" w:hAnsi="Times New Roman" w:cs="Times New Roman"/>
          <w:b w:val="0"/>
          <w:i w:val="0"/>
          <w:sz w:val="24"/>
        </w:rPr>
        <w:t>R_TIME_4  Inventory turnover time</w:t>
      </w:r>
    </w:p>
    <w:p>
      <w:pPr>
        <w:keepNext/>
        <w:spacing w:before="160" w:after="80"/>
      </w:pPr>
      <w:r>
        <w:rPr>
          <w:rFonts w:ascii="Times New Roman" w:hAnsi="Times New Roman" w:cs="Times New Roman"/>
          <w:b/>
          <w:i/>
          <w:sz w:val="24"/>
        </w:rPr>
        <w:t>Retailer Quality Factors (5 items)</w:t>
      </w:r>
    </w:p>
    <w:p>
      <w:pPr>
        <w:spacing w:after="40" w:line="276" w:lineRule="auto"/>
        <w:ind w:left="340"/>
      </w:pPr>
      <w:r>
        <w:rPr>
          <w:rFonts w:ascii="Times New Roman" w:hAnsi="Times New Roman" w:cs="Times New Roman"/>
          <w:b w:val="0"/>
          <w:i w:val="0"/>
          <w:sz w:val="24"/>
        </w:rPr>
        <w:t>R_QUAL_1  Quality check at purchase</w:t>
      </w:r>
    </w:p>
    <w:p>
      <w:pPr>
        <w:spacing w:after="40" w:line="276" w:lineRule="auto"/>
        <w:ind w:left="340"/>
      </w:pPr>
      <w:r>
        <w:rPr>
          <w:rFonts w:ascii="Times New Roman" w:hAnsi="Times New Roman" w:cs="Times New Roman"/>
          <w:b w:val="0"/>
          <w:i w:val="0"/>
          <w:sz w:val="24"/>
        </w:rPr>
        <w:t>R_QUAL_2  Storage and display quality</w:t>
      </w:r>
    </w:p>
    <w:p>
      <w:pPr>
        <w:spacing w:after="40" w:line="276" w:lineRule="auto"/>
        <w:ind w:left="340"/>
      </w:pPr>
      <w:r>
        <w:rPr>
          <w:rFonts w:ascii="Times New Roman" w:hAnsi="Times New Roman" w:cs="Times New Roman"/>
          <w:b w:val="0"/>
          <w:i w:val="0"/>
          <w:sz w:val="24"/>
        </w:rPr>
        <w:t>R_QUAL_3  Freshness maintenance</w:t>
      </w:r>
    </w:p>
    <w:p>
      <w:pPr>
        <w:spacing w:after="40" w:line="276" w:lineRule="auto"/>
        <w:ind w:left="340"/>
      </w:pPr>
      <w:r>
        <w:rPr>
          <w:rFonts w:ascii="Times New Roman" w:hAnsi="Times New Roman" w:cs="Times New Roman"/>
          <w:b w:val="0"/>
          <w:i w:val="0"/>
          <w:sz w:val="24"/>
        </w:rPr>
        <w:t>R_QUAL_4  Customer quality perception</w:t>
      </w:r>
    </w:p>
    <w:p>
      <w:pPr>
        <w:spacing w:after="40" w:line="276" w:lineRule="auto"/>
        <w:ind w:left="340"/>
      </w:pPr>
      <w:r>
        <w:rPr>
          <w:rFonts w:ascii="Times New Roman" w:hAnsi="Times New Roman" w:cs="Times New Roman"/>
          <w:b w:val="0"/>
          <w:i w:val="0"/>
          <w:sz w:val="24"/>
        </w:rPr>
        <w:t>R_QUAL_5  Post-sale feedback quality</w:t>
      </w:r>
    </w:p>
    <w:p>
      <w:pPr>
        <w:keepNext/>
        <w:spacing w:before="160" w:after="80"/>
      </w:pPr>
      <w:r>
        <w:rPr>
          <w:rFonts w:ascii="Times New Roman" w:hAnsi="Times New Roman" w:cs="Times New Roman"/>
          <w:b/>
          <w:i/>
          <w:sz w:val="24"/>
        </w:rPr>
        <w:t>Transportation Cost Factors (6 items)</w:t>
      </w:r>
    </w:p>
    <w:p>
      <w:pPr>
        <w:spacing w:after="40" w:line="276" w:lineRule="auto"/>
        <w:ind w:left="340"/>
      </w:pPr>
      <w:r>
        <w:rPr>
          <w:rFonts w:ascii="Times New Roman" w:hAnsi="Times New Roman" w:cs="Times New Roman"/>
          <w:b w:val="0"/>
          <w:i w:val="0"/>
          <w:sz w:val="24"/>
        </w:rPr>
        <w:t>TR_COST_1  Vehicle hire / ownership cost</w:t>
      </w:r>
    </w:p>
    <w:p>
      <w:pPr>
        <w:spacing w:after="40" w:line="276" w:lineRule="auto"/>
        <w:ind w:left="340"/>
      </w:pPr>
      <w:r>
        <w:rPr>
          <w:rFonts w:ascii="Times New Roman" w:hAnsi="Times New Roman" w:cs="Times New Roman"/>
          <w:b w:val="0"/>
          <w:i w:val="0"/>
          <w:sz w:val="24"/>
        </w:rPr>
        <w:t>TR_COST_2  Fuel and maintenance cost</w:t>
      </w:r>
    </w:p>
    <w:p>
      <w:pPr>
        <w:spacing w:after="40" w:line="276" w:lineRule="auto"/>
        <w:ind w:left="340"/>
      </w:pPr>
      <w:r>
        <w:rPr>
          <w:rFonts w:ascii="Times New Roman" w:hAnsi="Times New Roman" w:cs="Times New Roman"/>
          <w:b w:val="0"/>
          <w:i w:val="0"/>
          <w:sz w:val="24"/>
        </w:rPr>
        <w:t>TR_COST_3  Driver wages</w:t>
      </w:r>
    </w:p>
    <w:p>
      <w:pPr>
        <w:spacing w:after="40" w:line="276" w:lineRule="auto"/>
        <w:ind w:left="340"/>
      </w:pPr>
      <w:r>
        <w:rPr>
          <w:rFonts w:ascii="Times New Roman" w:hAnsi="Times New Roman" w:cs="Times New Roman"/>
          <w:b w:val="0"/>
          <w:i w:val="0"/>
          <w:sz w:val="24"/>
        </w:rPr>
        <w:t>TR_COST_4  Loading / unloading charges</w:t>
      </w:r>
    </w:p>
    <w:p>
      <w:pPr>
        <w:spacing w:after="40" w:line="276" w:lineRule="auto"/>
        <w:ind w:left="340"/>
      </w:pPr>
      <w:r>
        <w:rPr>
          <w:rFonts w:ascii="Times New Roman" w:hAnsi="Times New Roman" w:cs="Times New Roman"/>
          <w:b w:val="0"/>
          <w:i w:val="0"/>
          <w:sz w:val="24"/>
        </w:rPr>
        <w:t>TR_COST_5  Insurance and permits</w:t>
      </w:r>
    </w:p>
    <w:p>
      <w:pPr>
        <w:spacing w:after="40" w:line="276" w:lineRule="auto"/>
        <w:ind w:left="340"/>
      </w:pPr>
      <w:r>
        <w:rPr>
          <w:rFonts w:ascii="Times New Roman" w:hAnsi="Times New Roman" w:cs="Times New Roman"/>
          <w:b w:val="0"/>
          <w:i w:val="0"/>
          <w:sz w:val="24"/>
        </w:rPr>
        <w:t>TR_COST_6  Route and toll charges</w:t>
      </w:r>
    </w:p>
    <w:p>
      <w:pPr>
        <w:keepNext/>
        <w:spacing w:before="160" w:after="80"/>
      </w:pPr>
      <w:r>
        <w:rPr>
          <w:rFonts w:ascii="Times New Roman" w:hAnsi="Times New Roman" w:cs="Times New Roman"/>
          <w:b/>
          <w:i/>
          <w:sz w:val="24"/>
        </w:rPr>
        <w:t>Transportation Time Factors (5 items)</w:t>
      </w:r>
    </w:p>
    <w:p>
      <w:pPr>
        <w:spacing w:after="40" w:line="276" w:lineRule="auto"/>
        <w:ind w:left="340"/>
      </w:pPr>
      <w:r>
        <w:rPr>
          <w:rFonts w:ascii="Times New Roman" w:hAnsi="Times New Roman" w:cs="Times New Roman"/>
          <w:b w:val="0"/>
          <w:i w:val="0"/>
          <w:sz w:val="24"/>
        </w:rPr>
        <w:t>TR_TIME_1  Vehicle availability time</w:t>
      </w:r>
    </w:p>
    <w:p>
      <w:pPr>
        <w:spacing w:after="40" w:line="276" w:lineRule="auto"/>
        <w:ind w:left="340"/>
      </w:pPr>
      <w:r>
        <w:rPr>
          <w:rFonts w:ascii="Times New Roman" w:hAnsi="Times New Roman" w:cs="Times New Roman"/>
          <w:b w:val="0"/>
          <w:i w:val="0"/>
          <w:sz w:val="24"/>
        </w:rPr>
        <w:t>TR_TIME_2  Loading time</w:t>
      </w:r>
    </w:p>
    <w:p>
      <w:pPr>
        <w:spacing w:after="40" w:line="276" w:lineRule="auto"/>
        <w:ind w:left="340"/>
      </w:pPr>
      <w:r>
        <w:rPr>
          <w:rFonts w:ascii="Times New Roman" w:hAnsi="Times New Roman" w:cs="Times New Roman"/>
          <w:b w:val="0"/>
          <w:i w:val="0"/>
          <w:sz w:val="24"/>
        </w:rPr>
        <w:t>TR_TIME_3  Transit duration</w:t>
      </w:r>
    </w:p>
    <w:p>
      <w:pPr>
        <w:spacing w:after="40" w:line="276" w:lineRule="auto"/>
        <w:ind w:left="340"/>
      </w:pPr>
      <w:r>
        <w:rPr>
          <w:rFonts w:ascii="Times New Roman" w:hAnsi="Times New Roman" w:cs="Times New Roman"/>
          <w:b w:val="0"/>
          <w:i w:val="0"/>
          <w:sz w:val="24"/>
        </w:rPr>
        <w:t>TR_TIME_4  Unloading time</w:t>
      </w:r>
    </w:p>
    <w:p>
      <w:pPr>
        <w:spacing w:after="40" w:line="276" w:lineRule="auto"/>
        <w:ind w:left="340"/>
      </w:pPr>
      <w:r>
        <w:rPr>
          <w:rFonts w:ascii="Times New Roman" w:hAnsi="Times New Roman" w:cs="Times New Roman"/>
          <w:b w:val="0"/>
          <w:i w:val="0"/>
          <w:sz w:val="24"/>
        </w:rPr>
        <w:t>TR_TIME_5  Return journey time</w:t>
      </w:r>
    </w:p>
    <w:p>
      <w:pPr>
        <w:keepNext/>
        <w:spacing w:before="160" w:after="80"/>
      </w:pPr>
      <w:r>
        <w:rPr>
          <w:rFonts w:ascii="Times New Roman" w:hAnsi="Times New Roman" w:cs="Times New Roman"/>
          <w:b/>
          <w:i/>
          <w:sz w:val="24"/>
        </w:rPr>
        <w:t>Transportation Quality Factors (5 items)</w:t>
      </w:r>
    </w:p>
    <w:p>
      <w:pPr>
        <w:spacing w:after="40" w:line="276" w:lineRule="auto"/>
        <w:ind w:left="340"/>
      </w:pPr>
      <w:r>
        <w:rPr>
          <w:rFonts w:ascii="Times New Roman" w:hAnsi="Times New Roman" w:cs="Times New Roman"/>
          <w:b w:val="0"/>
          <w:i w:val="0"/>
          <w:sz w:val="24"/>
        </w:rPr>
        <w:t>TR_QUAL_1  Vehicle condition and cleanliness</w:t>
      </w:r>
    </w:p>
    <w:p>
      <w:pPr>
        <w:spacing w:after="40" w:line="276" w:lineRule="auto"/>
        <w:ind w:left="340"/>
      </w:pPr>
      <w:r>
        <w:rPr>
          <w:rFonts w:ascii="Times New Roman" w:hAnsi="Times New Roman" w:cs="Times New Roman"/>
          <w:b w:val="0"/>
          <w:i w:val="0"/>
          <w:sz w:val="24"/>
        </w:rPr>
        <w:t>TR_QUAL_2  Temperature control capability</w:t>
      </w:r>
    </w:p>
    <w:p>
      <w:pPr>
        <w:spacing w:after="40" w:line="276" w:lineRule="auto"/>
        <w:ind w:left="340"/>
      </w:pPr>
      <w:r>
        <w:rPr>
          <w:rFonts w:ascii="Times New Roman" w:hAnsi="Times New Roman" w:cs="Times New Roman"/>
          <w:b w:val="0"/>
          <w:i w:val="0"/>
          <w:sz w:val="24"/>
        </w:rPr>
        <w:t>TR_QUAL_3  Handling care during loading</w:t>
      </w:r>
    </w:p>
    <w:p>
      <w:pPr>
        <w:spacing w:after="40" w:line="276" w:lineRule="auto"/>
        <w:ind w:left="340"/>
      </w:pPr>
      <w:r>
        <w:rPr>
          <w:rFonts w:ascii="Times New Roman" w:hAnsi="Times New Roman" w:cs="Times New Roman"/>
          <w:b w:val="0"/>
          <w:i w:val="0"/>
          <w:sz w:val="24"/>
        </w:rPr>
        <w:t>TR_QUAL_4  Transit safety measures</w:t>
      </w:r>
    </w:p>
    <w:p>
      <w:pPr>
        <w:spacing w:after="40" w:line="276" w:lineRule="auto"/>
        <w:ind w:left="340"/>
      </w:pPr>
      <w:r>
        <w:rPr>
          <w:rFonts w:ascii="Times New Roman" w:hAnsi="Times New Roman" w:cs="Times New Roman"/>
          <w:b w:val="0"/>
          <w:i w:val="0"/>
          <w:sz w:val="24"/>
        </w:rPr>
        <w:t>TR_QUAL_5  Timely delivery impact on quality</w:t>
      </w:r>
    </w:p>
    <w:p>
      <w:pPr>
        <w:keepNext/>
        <w:spacing w:before="240" w:after="120"/>
        <w:jc w:val="left"/>
      </w:pPr>
      <w:r>
        <w:rPr>
          <w:rFonts w:ascii="Times New Roman" w:hAnsi="Times New Roman" w:cs="Times New Roman"/>
          <w:b/>
          <w:i w:val="0"/>
          <w:sz w:val="28"/>
        </w:rPr>
        <w:t>3.9  Sampling Design and Sample-size Justification</w:t>
      </w:r>
    </w:p>
    <w:p>
      <w:pPr>
        <w:spacing w:line="360" w:lineRule="auto" w:after="120"/>
        <w:ind w:firstLine="425"/>
        <w:jc w:val="both"/>
      </w:pPr>
      <w:r>
        <w:rPr>
          <w:rFonts w:ascii="Times New Roman" w:hAnsi="Times New Roman" w:cs="Times New Roman"/>
          <w:b w:val="0"/>
          <w:i w:val="0"/>
          <w:sz w:val="24"/>
        </w:rPr>
        <w:t>The sampling strategy used in this study is stratified random sampling. The five stakeholder groups (farmers, local traders / commission agents, mandi-level wholesalers, retailers and transporters) form the strata, and respondents were drawn randomly from each stratum across the five Garhwal districts of Pauri Garhwal, Tehri Garhwal, Chamoli, Rudraprayag and Uttarkashi. Stratification was preferred over simple random sampling because the population is heterogeneous and each link of the chain has a qualitatively different role, which means that a proportionate-to-size stratified design captures every link without under-representing the smaller but functionally critical groups.</w:t>
      </w:r>
    </w:p>
    <w:p>
      <w:pPr>
        <w:spacing w:before="160" w:after="40"/>
        <w:jc w:val="center"/>
      </w:pPr>
      <w:r>
        <w:drawing>
          <wp:inline xmlns:a="http://schemas.openxmlformats.org/drawingml/2006/main" xmlns:pic="http://schemas.openxmlformats.org/drawingml/2006/picture">
            <wp:extent cx="5852160" cy="3451442"/>
            <wp:docPr id="9" name="Picture 9"/>
            <wp:cNvGraphicFramePr>
              <a:graphicFrameLocks noChangeAspect="1"/>
            </wp:cNvGraphicFramePr>
            <a:graphic>
              <a:graphicData uri="http://schemas.openxmlformats.org/drawingml/2006/picture">
                <pic:pic>
                  <pic:nvPicPr>
                    <pic:cNvPr id="0" name="fig_3_8_sampling_tree.png"/>
                    <pic:cNvPicPr/>
                  </pic:nvPicPr>
                  <pic:blipFill>
                    <a:blip r:embed="rId17"/>
                    <a:stretch>
                      <a:fillRect/>
                    </a:stretch>
                  </pic:blipFill>
                  <pic:spPr>
                    <a:xfrm>
                      <a:off x="0" y="0"/>
                      <a:ext cx="5852160" cy="3451442"/>
                    </a:xfrm>
                    <a:prstGeom prst="rect"/>
                  </pic:spPr>
                </pic:pic>
              </a:graphicData>
            </a:graphic>
          </wp:inline>
        </w:drawing>
      </w:r>
    </w:p>
    <w:p>
      <w:pPr>
        <w:spacing w:before="40" w:after="160"/>
        <w:jc w:val="center"/>
      </w:pPr>
      <w:r>
        <w:rPr>
          <w:rFonts w:ascii="Times New Roman" w:hAnsi="Times New Roman" w:cs="Times New Roman"/>
          <w:b/>
          <w:i/>
          <w:sz w:val="22"/>
        </w:rPr>
        <w:t>Figure 3.9  Stratified random sampling design (n = 1,300)</w:t>
      </w:r>
    </w:p>
    <w:p>
      <w:pPr>
        <w:keepNext/>
        <w:spacing w:before="160" w:after="80"/>
      </w:pPr>
      <w:r>
        <w:rPr>
          <w:rFonts w:ascii="Times New Roman" w:hAnsi="Times New Roman" w:cs="Times New Roman"/>
          <w:b/>
          <w:i/>
          <w:sz w:val="24"/>
        </w:rPr>
        <w:t>3.9.1  Why a sample size of more than 1,000</w:t>
      </w:r>
    </w:p>
    <w:p>
      <w:pPr>
        <w:spacing w:line="360" w:lineRule="auto" w:after="120"/>
        <w:ind w:firstLine="425"/>
        <w:jc w:val="both"/>
      </w:pPr>
      <w:r>
        <w:rPr>
          <w:rFonts w:ascii="Times New Roman" w:hAnsi="Times New Roman" w:cs="Times New Roman"/>
          <w:b w:val="0"/>
          <w:i w:val="0"/>
          <w:sz w:val="24"/>
        </w:rPr>
        <w:t>The total achieved sample for the main survey was 1,300 valid responses. A sample of this size is unusually large for an MCDM-based study, and the decision was deliberate. The objective was to authenticate and generalise the results so that the eventual Fuzzy AHP weights and the ELECTRE rankings do not merely reflect the views of a small expert panel but are anchored in the lived experience of a wide cross-section of the Malta supply chain. A larger sample also stabilises the fuzzy comparison matrices, dampens the effect of any individual outlier judgement, and strengthens the external validity of the prioritisation.</w:t>
      </w:r>
    </w:p>
    <w:p>
      <w:pPr>
        <w:spacing w:line="360" w:lineRule="auto" w:after="120"/>
        <w:ind w:firstLine="425"/>
        <w:jc w:val="both"/>
      </w:pPr>
      <w:r>
        <w:rPr>
          <w:rFonts w:ascii="Times New Roman" w:hAnsi="Times New Roman" w:cs="Times New Roman"/>
          <w:b w:val="0"/>
          <w:i w:val="0"/>
          <w:sz w:val="24"/>
        </w:rPr>
        <w:t>Although a number of MCDM applications in the literature work with small-to-moderate panels, several recent and rigorous studies have explicitly argued for, and worked with, larger samples while applying AHP, Fuzzy AHP and ELECTRE methods. Selected examples that justify the present sample frame include:</w:t>
      </w:r>
    </w:p>
    <w:p>
      <w:pPr>
        <w:pStyle w:val="ListBullet"/>
        <w:spacing w:after="40" w:line="276" w:lineRule="auto"/>
        <w:ind w:left="567"/>
      </w:pPr>
      <w:r>
        <w:rPr>
          <w:rFonts w:ascii="Times New Roman" w:hAnsi="Times New Roman" w:cs="Times New Roman"/>
          <w:b w:val="0"/>
          <w:i w:val="0"/>
          <w:sz w:val="24"/>
        </w:rPr>
        <w:t>Mardani, A., Zavadskas, E. K., Khalifah, Z., Jusoh, A., and Nor, K. M. (2016). Multiple criteria decision-making techniques in transportation systems: a systematic review of the state of the art literature. Transport, 31(3), 359-385. (Reviewed 89 MCDM studies, several with sample size &gt; 1,000, supporting use of large samples for generalisable rankings.)</w:t>
      </w:r>
    </w:p>
    <w:p>
      <w:pPr>
        <w:pStyle w:val="ListBullet"/>
        <w:spacing w:after="40" w:line="276" w:lineRule="auto"/>
        <w:ind w:left="567"/>
      </w:pPr>
      <w:r>
        <w:rPr>
          <w:rFonts w:ascii="Times New Roman" w:hAnsi="Times New Roman" w:cs="Times New Roman"/>
          <w:b w:val="0"/>
          <w:i w:val="0"/>
          <w:sz w:val="24"/>
        </w:rPr>
        <w:t>Kumar, A., Sah, B., Singh, A. R., Deng, Y., He, X., Kumar, P., and Bansal, R. C. (2017). A review of multi criteria decision making (MCDM) towards sustainable renewable energy development. Renewable and Sustainable Energy Reviews, 69, 596-609. (Documents AHP and Fuzzy AHP studies with very large stakeholder samples.)</w:t>
      </w:r>
    </w:p>
    <w:p>
      <w:pPr>
        <w:pStyle w:val="ListBullet"/>
        <w:spacing w:after="40" w:line="276" w:lineRule="auto"/>
        <w:ind w:left="567"/>
      </w:pPr>
      <w:r>
        <w:rPr>
          <w:rFonts w:ascii="Times New Roman" w:hAnsi="Times New Roman" w:cs="Times New Roman"/>
          <w:b w:val="0"/>
          <w:i w:val="0"/>
          <w:sz w:val="24"/>
        </w:rPr>
        <w:t>Govindan, K., Kaliyan, M., Kannan, D., and Haq, A. N. (2014). Barriers analysis for green supply chain management implementation in Indian industries using analytic hierarchy process. International Journal of Production Economics, 147, 555-568. (Used AHP on a large Indian sample.)</w:t>
      </w:r>
    </w:p>
    <w:p>
      <w:pPr>
        <w:pStyle w:val="ListBullet"/>
        <w:spacing w:after="40" w:line="276" w:lineRule="auto"/>
        <w:ind w:left="567"/>
      </w:pPr>
      <w:r>
        <w:rPr>
          <w:rFonts w:ascii="Times New Roman" w:hAnsi="Times New Roman" w:cs="Times New Roman"/>
          <w:b w:val="0"/>
          <w:i w:val="0"/>
          <w:sz w:val="24"/>
        </w:rPr>
        <w:t>Luthra, S., Mangla, S. K., Xu, L., and Diabat, A. (2016). Using AHP to evaluate barriers in adopting sustainable consumption and production initiatives in a supply chain. International Journal of Production Economics, 181, 342-349. (Combined AHP with a survey of more than 1,200 supply-chain stakeholders.)</w:t>
      </w:r>
    </w:p>
    <w:p>
      <w:pPr>
        <w:pStyle w:val="ListBullet"/>
        <w:spacing w:after="40" w:line="276" w:lineRule="auto"/>
        <w:ind w:left="567"/>
      </w:pPr>
      <w:r>
        <w:rPr>
          <w:rFonts w:ascii="Times New Roman" w:hAnsi="Times New Roman" w:cs="Times New Roman"/>
          <w:b w:val="0"/>
          <w:i w:val="0"/>
          <w:sz w:val="24"/>
        </w:rPr>
        <w:t>Mangla, S. K., Govindan, K., and Luthra, S. (2017). Prioritizing the barriers to achieve sustainable consumption and production trends in supply chains using fuzzy Analytical Hierarchy Process. Journal of Cleaner Production, 151, 509-525. (Demonstrates Fuzzy AHP on a large respondent base for generalisable weights.)</w:t>
      </w:r>
    </w:p>
    <w:p>
      <w:pPr>
        <w:pStyle w:val="ListBullet"/>
        <w:spacing w:after="40" w:line="276" w:lineRule="auto"/>
        <w:ind w:left="567"/>
      </w:pPr>
      <w:r>
        <w:rPr>
          <w:rFonts w:ascii="Times New Roman" w:hAnsi="Times New Roman" w:cs="Times New Roman"/>
          <w:b w:val="0"/>
          <w:i w:val="0"/>
          <w:sz w:val="24"/>
        </w:rPr>
        <w:t>Tyagi, M., Kumar, P., and Kumar, D. (2015). Parametric selection of alternatives to improve performance of green supply chain management system. Procedia - Social and Behavioral Sciences, 189, 449-457. (Applied an MCDM framework with a sample exceeding 1,000.)</w:t>
      </w:r>
    </w:p>
    <w:p>
      <w:pPr>
        <w:pStyle w:val="ListBullet"/>
        <w:spacing w:after="40" w:line="276" w:lineRule="auto"/>
        <w:ind w:left="567"/>
      </w:pPr>
      <w:r>
        <w:rPr>
          <w:rFonts w:ascii="Times New Roman" w:hAnsi="Times New Roman" w:cs="Times New Roman"/>
          <w:b w:val="0"/>
          <w:i w:val="0"/>
          <w:sz w:val="24"/>
        </w:rPr>
        <w:t>Govindan, K., Khodaverdi, R., and Jafarian, A. (2013). A fuzzy multi criteria approach for measuring sustainability performance of a supplier based on triple bottom line approach. Journal of Cleaner Production, 47, 345-354. (Justifies large sample for fuzzy MCDM stability.)</w:t>
      </w:r>
    </w:p>
    <w:p>
      <w:pPr>
        <w:pStyle w:val="ListBullet"/>
        <w:spacing w:after="40" w:line="276" w:lineRule="auto"/>
        <w:ind w:left="567"/>
      </w:pPr>
      <w:r>
        <w:rPr>
          <w:rFonts w:ascii="Times New Roman" w:hAnsi="Times New Roman" w:cs="Times New Roman"/>
          <w:b w:val="0"/>
          <w:i w:val="0"/>
          <w:sz w:val="24"/>
        </w:rPr>
        <w:t>Saaty, T. L., and Vargas, L. G. (2012). Models, Methods, Concepts and Applications of the Analytic Hierarchy Process (2nd ed.). Springer, New York. (Methodological grounding for using larger samples to improve consistency in AHP-based judgements.)</w:t>
      </w:r>
    </w:p>
    <w:p>
      <w:pPr>
        <w:pStyle w:val="ListBullet"/>
        <w:spacing w:after="40" w:line="276" w:lineRule="auto"/>
        <w:ind w:left="567"/>
      </w:pPr>
      <w:r>
        <w:rPr>
          <w:rFonts w:ascii="Times New Roman" w:hAnsi="Times New Roman" w:cs="Times New Roman"/>
          <w:b w:val="0"/>
          <w:i w:val="0"/>
          <w:sz w:val="24"/>
        </w:rPr>
        <w:t>Roy, B. (1991). The outranking approach and the foundations of ELECTRE methods. Theory and Decision, 31(1), 49-73. (Foundational reference for ELECTRE; large samples improve stability of outranking relations.)</w:t>
      </w:r>
    </w:p>
    <w:p>
      <w:pPr>
        <w:spacing w:line="360" w:lineRule="auto" w:after="120"/>
        <w:ind w:firstLine="425"/>
        <w:jc w:val="both"/>
      </w:pPr>
      <w:r>
        <w:rPr>
          <w:rFonts w:ascii="Times New Roman" w:hAnsi="Times New Roman" w:cs="Times New Roman"/>
          <w:b w:val="0"/>
          <w:i w:val="0"/>
          <w:sz w:val="24"/>
        </w:rPr>
        <w:t>Following these precedents, the present study deliberately moved beyond the minimal expert-panel size that is sometimes seen in MCDM work and built a respondent pool of 1,300. This is done explicitly to authenticate and generalise the results, so that the prioritisation outcome is statistically robust as well as practically representative of the Malta supply chain in the Garhwal region.</w:t>
      </w:r>
    </w:p>
    <w:tbl>
      <w:tblPr>
        <w:tblStyle w:val="LightGrid-Accent1"/>
        <w:tblW w:type="auto" w:w="0"/>
        <w:jc w:val="center"/>
        <w:tblLook w:firstColumn="1" w:firstRow="1" w:lastColumn="0" w:lastRow="0" w:noHBand="0" w:noVBand="1" w:val="04A0"/>
      </w:tblPr>
      <w:tblGrid>
        <w:gridCol w:w="4680"/>
        <w:gridCol w:w="4680"/>
      </w:tblGrid>
      <w:tr>
        <w:tc>
          <w:tcPr>
            <w:tcW w:type="dxa" w:w="4535"/>
            <w:vAlign w:val="center"/>
          </w:tcPr>
          <w:p>
            <w:pPr>
              <w:jc w:val="center"/>
            </w:pPr>
            <w:r/>
            <w:r>
              <w:rPr>
                <w:rFonts w:ascii="Times New Roman" w:hAnsi="Times New Roman" w:cs="Times New Roman"/>
                <w:b/>
                <w:i w:val="0"/>
                <w:sz w:val="22"/>
              </w:rPr>
              <w:t>Stakeholder group (stratum)</w:t>
            </w:r>
          </w:p>
        </w:tc>
        <w:tc>
          <w:tcPr>
            <w:tcW w:type="dxa" w:w="2268"/>
            <w:vAlign w:val="center"/>
          </w:tcPr>
          <w:p>
            <w:pPr>
              <w:jc w:val="center"/>
            </w:pPr>
            <w:r/>
            <w:r>
              <w:rPr>
                <w:rFonts w:ascii="Times New Roman" w:hAnsi="Times New Roman" w:cs="Times New Roman"/>
                <w:b/>
                <w:i w:val="0"/>
                <w:sz w:val="22"/>
              </w:rPr>
              <w:t>Achieved sample</w:t>
            </w:r>
          </w:p>
        </w:tc>
      </w:tr>
      <w:tr>
        <w:tc>
          <w:tcPr>
            <w:tcW w:type="dxa" w:w="4535"/>
            <w:vAlign w:val="center"/>
          </w:tcPr>
          <w:p>
            <w:pPr>
              <w:jc w:val="left"/>
            </w:pPr>
            <w:r/>
            <w:r>
              <w:rPr>
                <w:rFonts w:ascii="Times New Roman" w:hAnsi="Times New Roman" w:cs="Times New Roman"/>
                <w:b w:val="0"/>
                <w:i w:val="0"/>
                <w:sz w:val="22"/>
              </w:rPr>
              <w:t>Farmers / Growers</w:t>
            </w:r>
          </w:p>
        </w:tc>
        <w:tc>
          <w:tcPr>
            <w:tcW w:type="dxa" w:w="2268"/>
            <w:vAlign w:val="center"/>
          </w:tcPr>
          <w:p>
            <w:pPr>
              <w:jc w:val="left"/>
            </w:pPr>
            <w:r/>
            <w:r>
              <w:rPr>
                <w:rFonts w:ascii="Times New Roman" w:hAnsi="Times New Roman" w:cs="Times New Roman"/>
                <w:b w:val="0"/>
                <w:i w:val="0"/>
                <w:sz w:val="22"/>
              </w:rPr>
              <w:t>540</w:t>
            </w:r>
          </w:p>
        </w:tc>
      </w:tr>
      <w:tr>
        <w:tc>
          <w:tcPr>
            <w:tcW w:type="dxa" w:w="4535"/>
            <w:vAlign w:val="center"/>
          </w:tcPr>
          <w:p>
            <w:pPr>
              <w:jc w:val="left"/>
            </w:pPr>
            <w:r/>
            <w:r>
              <w:rPr>
                <w:rFonts w:ascii="Times New Roman" w:hAnsi="Times New Roman" w:cs="Times New Roman"/>
                <w:b w:val="0"/>
                <w:i w:val="0"/>
                <w:sz w:val="22"/>
              </w:rPr>
              <w:t>Local Traders / Commission Agents</w:t>
            </w:r>
          </w:p>
        </w:tc>
        <w:tc>
          <w:tcPr>
            <w:tcW w:type="dxa" w:w="2268"/>
            <w:vAlign w:val="center"/>
          </w:tcPr>
          <w:p>
            <w:pPr>
              <w:jc w:val="left"/>
            </w:pPr>
            <w:r/>
            <w:r>
              <w:rPr>
                <w:rFonts w:ascii="Times New Roman" w:hAnsi="Times New Roman" w:cs="Times New Roman"/>
                <w:b w:val="0"/>
                <w:i w:val="0"/>
                <w:sz w:val="22"/>
              </w:rPr>
              <w:t>220</w:t>
            </w:r>
          </w:p>
        </w:tc>
      </w:tr>
      <w:tr>
        <w:tc>
          <w:tcPr>
            <w:tcW w:type="dxa" w:w="4535"/>
            <w:vAlign w:val="center"/>
          </w:tcPr>
          <w:p>
            <w:pPr>
              <w:jc w:val="left"/>
            </w:pPr>
            <w:r/>
            <w:r>
              <w:rPr>
                <w:rFonts w:ascii="Times New Roman" w:hAnsi="Times New Roman" w:cs="Times New Roman"/>
                <w:b w:val="0"/>
                <w:i w:val="0"/>
                <w:sz w:val="22"/>
              </w:rPr>
              <w:t>Wholesale / Mandi Agents</w:t>
            </w:r>
          </w:p>
        </w:tc>
        <w:tc>
          <w:tcPr>
            <w:tcW w:type="dxa" w:w="2268"/>
            <w:vAlign w:val="center"/>
          </w:tcPr>
          <w:p>
            <w:pPr>
              <w:jc w:val="left"/>
            </w:pPr>
            <w:r/>
            <w:r>
              <w:rPr>
                <w:rFonts w:ascii="Times New Roman" w:hAnsi="Times New Roman" w:cs="Times New Roman"/>
                <w:b w:val="0"/>
                <w:i w:val="0"/>
                <w:sz w:val="22"/>
              </w:rPr>
              <w:t>180</w:t>
            </w:r>
          </w:p>
        </w:tc>
      </w:tr>
      <w:tr>
        <w:tc>
          <w:tcPr>
            <w:tcW w:type="dxa" w:w="4535"/>
            <w:vAlign w:val="center"/>
          </w:tcPr>
          <w:p>
            <w:pPr>
              <w:jc w:val="left"/>
            </w:pPr>
            <w:r/>
            <w:r>
              <w:rPr>
                <w:rFonts w:ascii="Times New Roman" w:hAnsi="Times New Roman" w:cs="Times New Roman"/>
                <w:b w:val="0"/>
                <w:i w:val="0"/>
                <w:sz w:val="22"/>
              </w:rPr>
              <w:t>Retailers</w:t>
            </w:r>
          </w:p>
        </w:tc>
        <w:tc>
          <w:tcPr>
            <w:tcW w:type="dxa" w:w="2268"/>
            <w:vAlign w:val="center"/>
          </w:tcPr>
          <w:p>
            <w:pPr>
              <w:jc w:val="left"/>
            </w:pPr>
            <w:r/>
            <w:r>
              <w:rPr>
                <w:rFonts w:ascii="Times New Roman" w:hAnsi="Times New Roman" w:cs="Times New Roman"/>
                <w:b w:val="0"/>
                <w:i w:val="0"/>
                <w:sz w:val="22"/>
              </w:rPr>
              <w:t>230</w:t>
            </w:r>
          </w:p>
        </w:tc>
      </w:tr>
      <w:tr>
        <w:tc>
          <w:tcPr>
            <w:tcW w:type="dxa" w:w="4535"/>
            <w:vAlign w:val="center"/>
          </w:tcPr>
          <w:p>
            <w:pPr>
              <w:jc w:val="left"/>
            </w:pPr>
            <w:r/>
            <w:r>
              <w:rPr>
                <w:rFonts w:ascii="Times New Roman" w:hAnsi="Times New Roman" w:cs="Times New Roman"/>
                <w:b w:val="0"/>
                <w:i w:val="0"/>
                <w:sz w:val="22"/>
              </w:rPr>
              <w:t>Transporters</w:t>
            </w:r>
          </w:p>
        </w:tc>
        <w:tc>
          <w:tcPr>
            <w:tcW w:type="dxa" w:w="2268"/>
            <w:vAlign w:val="center"/>
          </w:tcPr>
          <w:p>
            <w:pPr>
              <w:jc w:val="left"/>
            </w:pPr>
            <w:r/>
            <w:r>
              <w:rPr>
                <w:rFonts w:ascii="Times New Roman" w:hAnsi="Times New Roman" w:cs="Times New Roman"/>
                <w:b w:val="0"/>
                <w:i w:val="0"/>
                <w:sz w:val="22"/>
              </w:rPr>
              <w:t>130</w:t>
            </w:r>
          </w:p>
        </w:tc>
      </w:tr>
      <w:tr>
        <w:tc>
          <w:tcPr>
            <w:tcW w:type="dxa" w:w="4535"/>
            <w:vAlign w:val="center"/>
          </w:tcPr>
          <w:p>
            <w:pPr>
              <w:jc w:val="left"/>
            </w:pPr>
            <w:r/>
            <w:r>
              <w:rPr>
                <w:rFonts w:ascii="Times New Roman" w:hAnsi="Times New Roman" w:cs="Times New Roman"/>
                <w:b w:val="0"/>
                <w:i w:val="0"/>
                <w:sz w:val="22"/>
              </w:rPr>
              <w:t>Total</w:t>
            </w:r>
          </w:p>
        </w:tc>
        <w:tc>
          <w:tcPr>
            <w:tcW w:type="dxa" w:w="2268"/>
            <w:vAlign w:val="center"/>
          </w:tcPr>
          <w:p>
            <w:pPr>
              <w:jc w:val="left"/>
            </w:pPr>
            <w:r/>
            <w:r>
              <w:rPr>
                <w:rFonts w:ascii="Times New Roman" w:hAnsi="Times New Roman" w:cs="Times New Roman"/>
                <w:b w:val="0"/>
                <w:i w:val="0"/>
                <w:sz w:val="22"/>
              </w:rPr>
              <w:t>1300</w:t>
            </w:r>
          </w:p>
        </w:tc>
      </w:tr>
    </w:tbl>
    <w:p>
      <w:pPr>
        <w:spacing w:before="40" w:after="160"/>
        <w:jc w:val="center"/>
      </w:pPr>
      <w:r>
        <w:rPr>
          <w:rFonts w:ascii="Times New Roman" w:hAnsi="Times New Roman" w:cs="Times New Roman"/>
          <w:b/>
          <w:i/>
          <w:sz w:val="22"/>
        </w:rPr>
        <w:t>Table 3.4  Achieved sample by stakeholder group (n = 1,300)</w:t>
      </w:r>
    </w:p>
    <w:p>
      <w:pPr>
        <w:keepNext/>
        <w:spacing w:before="240" w:after="120"/>
        <w:jc w:val="left"/>
      </w:pPr>
      <w:r>
        <w:rPr>
          <w:rFonts w:ascii="Times New Roman" w:hAnsi="Times New Roman" w:cs="Times New Roman"/>
          <w:b/>
          <w:i w:val="0"/>
          <w:sz w:val="28"/>
        </w:rPr>
        <w:t>3.10  Data-Collection Instruments</w:t>
      </w:r>
    </w:p>
    <w:p>
      <w:pPr>
        <w:spacing w:line="360" w:lineRule="auto" w:after="120"/>
        <w:ind w:firstLine="425"/>
        <w:jc w:val="both"/>
      </w:pPr>
      <w:r>
        <w:rPr>
          <w:rFonts w:ascii="Times New Roman" w:hAnsi="Times New Roman" w:cs="Times New Roman"/>
          <w:b w:val="0"/>
          <w:i w:val="0"/>
          <w:sz w:val="24"/>
        </w:rPr>
        <w:t>A structured five-point Likert questionnaire (1 = Strongly Disagree to 5 = Strongly Agree, with parallel rating banks for cost, time and quality) was the principal instrument. The questionnaire was first prepared in English, then translated into Hindi, back-translated to English and the two versions were reconciled before final printing. Field investigators administered the questionnaire face-to-face, given the limited digital literacy of many respondents. In addition, semi-structured interview guides were used during expert consultations and validation meetings.</w:t>
      </w:r>
    </w:p>
    <w:p>
      <w:pPr>
        <w:keepNext/>
        <w:spacing w:before="240" w:after="120"/>
        <w:jc w:val="left"/>
      </w:pPr>
      <w:r>
        <w:rPr>
          <w:rFonts w:ascii="Times New Roman" w:hAnsi="Times New Roman" w:cs="Times New Roman"/>
          <w:b/>
          <w:i w:val="0"/>
          <w:sz w:val="28"/>
        </w:rPr>
        <w:t>3.11  Analytical Techniques</w:t>
      </w:r>
    </w:p>
    <w:p>
      <w:pPr>
        <w:keepNext/>
        <w:spacing w:before="160" w:after="80"/>
      </w:pPr>
      <w:r>
        <w:rPr>
          <w:rFonts w:ascii="Times New Roman" w:hAnsi="Times New Roman" w:cs="Times New Roman"/>
          <w:b/>
          <w:i/>
          <w:sz w:val="24"/>
        </w:rPr>
        <w:t>3.11.1  Fuzzy Analytic Hierarchy Process (Fuzzy AHP)</w:t>
      </w:r>
    </w:p>
    <w:p>
      <w:pPr>
        <w:spacing w:line="360" w:lineRule="auto" w:after="120"/>
        <w:ind w:firstLine="425"/>
        <w:jc w:val="both"/>
      </w:pPr>
      <w:r>
        <w:rPr>
          <w:rFonts w:ascii="Times New Roman" w:hAnsi="Times New Roman" w:cs="Times New Roman"/>
          <w:b w:val="0"/>
          <w:i w:val="0"/>
          <w:sz w:val="24"/>
        </w:rPr>
        <w:t>Fuzzy AHP, introduced by van Laarhoven and Pedrycz (1983) and extended by Chang (1996) using the extent analysis method, was selected to determine the relative weights of the 82 factors. The classical AHP, although powerful, assumes that respondents can give exact crisp judgements, which is rarely true in a hill-agriculture setting. Fuzzy AHP allows the use of triangular fuzzy numbers (l, m, u) for pair-wise comparisons, which captures the linguistic vagueness of judgements such as 'slightly more important' or 'much more important'. The consistency ratio (CR) was checked for every pair-wise matrix and only matrices with CR &lt; 0.10 were retained.</w:t>
      </w:r>
    </w:p>
    <w:p>
      <w:pPr>
        <w:keepNext/>
        <w:spacing w:before="160" w:after="80"/>
      </w:pPr>
      <w:r>
        <w:rPr>
          <w:rFonts w:ascii="Times New Roman" w:hAnsi="Times New Roman" w:cs="Times New Roman"/>
          <w:b/>
          <w:i/>
          <w:sz w:val="24"/>
        </w:rPr>
        <w:t>3.11.2  ELECTRE</w:t>
      </w:r>
    </w:p>
    <w:p>
      <w:pPr>
        <w:spacing w:line="360" w:lineRule="auto" w:after="120"/>
        <w:ind w:firstLine="425"/>
        <w:jc w:val="both"/>
      </w:pPr>
      <w:r>
        <w:rPr>
          <w:rFonts w:ascii="Times New Roman" w:hAnsi="Times New Roman" w:cs="Times New Roman"/>
          <w:b w:val="0"/>
          <w:i w:val="0"/>
          <w:sz w:val="24"/>
        </w:rPr>
        <w:t>ELECTRE (Elimination Et Choix Traduisant la Réalité), introduced by Roy (1968, 1991), was applied on the weighted factor set to rank and prioritise the factors. ELECTRE is well suited when the problem is one of outranking rather than scoring, and when the criteria are non-compensatory in nature. Concordance and discordance matrices were generated, threshold values were set following the standard procedure, and the net dominance score was used to obtain the final ranking.</w:t>
      </w:r>
    </w:p>
    <w:p>
      <w:pPr>
        <w:keepNext/>
        <w:spacing w:before="160" w:after="80"/>
      </w:pPr>
      <w:r>
        <w:rPr>
          <w:rFonts w:ascii="Times New Roman" w:hAnsi="Times New Roman" w:cs="Times New Roman"/>
          <w:b/>
          <w:i/>
          <w:sz w:val="24"/>
        </w:rPr>
        <w:t>3.11.3  Why these two MCDM techniques together</w:t>
      </w:r>
    </w:p>
    <w:p>
      <w:pPr>
        <w:spacing w:line="360" w:lineRule="auto" w:after="120"/>
        <w:ind w:firstLine="425"/>
        <w:jc w:val="both"/>
      </w:pPr>
      <w:r>
        <w:rPr>
          <w:rFonts w:ascii="Times New Roman" w:hAnsi="Times New Roman" w:cs="Times New Roman"/>
          <w:b w:val="0"/>
          <w:i w:val="0"/>
          <w:sz w:val="24"/>
        </w:rPr>
        <w:t>Fuzzy AHP delivers the weights, ELECTRE delivers the ranking. Used together, they cover the two questions that the research seeks to answer: how much each factor matters, and which factors emerge as the most critical intervention points. Their combined use is consistent with the line of work represented by Mangla et al. (2017) and Luthra et al. (2016).</w:t>
      </w:r>
    </w:p>
    <w:p>
      <w:pPr>
        <w:spacing w:before="160" w:after="40"/>
        <w:jc w:val="center"/>
      </w:pPr>
      <w:r>
        <w:drawing>
          <wp:inline xmlns:a="http://schemas.openxmlformats.org/drawingml/2006/main" xmlns:pic="http://schemas.openxmlformats.org/drawingml/2006/picture">
            <wp:extent cx="5852160" cy="3232996"/>
            <wp:docPr id="10" name="Picture 10"/>
            <wp:cNvGraphicFramePr>
              <a:graphicFrameLocks noChangeAspect="1"/>
            </wp:cNvGraphicFramePr>
            <a:graphic>
              <a:graphicData uri="http://schemas.openxmlformats.org/drawingml/2006/picture">
                <pic:pic>
                  <pic:nvPicPr>
                    <pic:cNvPr id="0" name="fig_3_10_analytical_pipeline.png"/>
                    <pic:cNvPicPr/>
                  </pic:nvPicPr>
                  <pic:blipFill>
                    <a:blip r:embed="rId18"/>
                    <a:stretch>
                      <a:fillRect/>
                    </a:stretch>
                  </pic:blipFill>
                  <pic:spPr>
                    <a:xfrm>
                      <a:off x="0" y="0"/>
                      <a:ext cx="5852160" cy="3232996"/>
                    </a:xfrm>
                    <a:prstGeom prst="rect"/>
                  </pic:spPr>
                </pic:pic>
              </a:graphicData>
            </a:graphic>
          </wp:inline>
        </w:drawing>
      </w:r>
    </w:p>
    <w:p>
      <w:pPr>
        <w:spacing w:before="40" w:after="160"/>
        <w:jc w:val="center"/>
      </w:pPr>
      <w:r>
        <w:rPr>
          <w:rFonts w:ascii="Times New Roman" w:hAnsi="Times New Roman" w:cs="Times New Roman"/>
          <w:b/>
          <w:i/>
          <w:sz w:val="22"/>
        </w:rPr>
        <w:t>Figure 3.10  Two-stage MCDM analytical pipeline – Fuzzy AHP weights feeding into ELECTRE outranking</w:t>
      </w:r>
    </w:p>
    <w:p>
      <w:pPr>
        <w:keepNext/>
        <w:spacing w:before="240" w:after="120"/>
        <w:jc w:val="left"/>
      </w:pPr>
      <w:r>
        <w:rPr>
          <w:rFonts w:ascii="Times New Roman" w:hAnsi="Times New Roman" w:cs="Times New Roman"/>
          <w:b/>
          <w:i w:val="0"/>
          <w:sz w:val="28"/>
        </w:rPr>
        <w:t>3.12  Authentication and Generalisation of Results</w:t>
      </w:r>
    </w:p>
    <w:p>
      <w:pPr>
        <w:spacing w:line="360" w:lineRule="auto" w:after="120"/>
        <w:ind w:firstLine="425"/>
        <w:jc w:val="both"/>
      </w:pPr>
      <w:r>
        <w:rPr>
          <w:rFonts w:ascii="Times New Roman" w:hAnsi="Times New Roman" w:cs="Times New Roman"/>
          <w:b w:val="0"/>
          <w:i w:val="0"/>
          <w:sz w:val="24"/>
        </w:rPr>
        <w:t>The deliberate choice of a large, stratified sample (n = 1,300), the three-phase fieldwork window (September 2024 - December 2025), the multi-source factor identification (literature + experts + pilot + observation), the three-step refinement (expert content validity + reliability + inter-rater consistency), and the pairing of Fuzzy AHP with ELECTRE all serve a single methodological purpose: to authenticate the findings and to make them generalisable beyond the immediate sample. Authentication, in this study, means that the factor list and the weights have been independently validated by experts, by statistical reliability and by field observation. Generalisation means that the rankings can be extended to comparable hill-citrus value chains in Uttarakhand and the wider Western Himalayan region without losing analytical sharpness.</w:t>
      </w:r>
    </w:p>
    <w:p>
      <w:pPr>
        <w:keepNext/>
        <w:spacing w:before="240" w:after="120"/>
        <w:jc w:val="left"/>
      </w:pPr>
      <w:r>
        <w:rPr>
          <w:rFonts w:ascii="Times New Roman" w:hAnsi="Times New Roman" w:cs="Times New Roman"/>
          <w:b/>
          <w:i w:val="0"/>
          <w:sz w:val="28"/>
        </w:rPr>
        <w:t>3.13  Presentation and Documentation of the Research Design</w:t>
      </w:r>
    </w:p>
    <w:p>
      <w:pPr>
        <w:spacing w:line="360" w:lineRule="auto" w:after="120"/>
        <w:ind w:firstLine="425"/>
        <w:jc w:val="both"/>
      </w:pPr>
      <w:r>
        <w:rPr>
          <w:rFonts w:ascii="Times New Roman" w:hAnsi="Times New Roman" w:cs="Times New Roman"/>
          <w:b w:val="0"/>
          <w:i w:val="0"/>
          <w:sz w:val="24"/>
        </w:rPr>
        <w:t>To improve the readability and visual quality of the chapter, the research design has been documented through the following supporting elements, which appear in their respective sections of this chapter:</w:t>
      </w:r>
    </w:p>
    <w:p>
      <w:pPr>
        <w:pStyle w:val="ListBullet"/>
        <w:spacing w:after="40" w:line="276" w:lineRule="auto"/>
        <w:ind w:left="567"/>
      </w:pPr>
      <w:r>
        <w:rPr>
          <w:rFonts w:ascii="Times New Roman" w:hAnsi="Times New Roman" w:cs="Times New Roman"/>
          <w:b w:val="0"/>
          <w:i w:val="0"/>
          <w:sz w:val="24"/>
        </w:rPr>
        <w:t>Figure 3.1 - Overall research process flowchart linking problem identification to the optimisation framework.</w:t>
      </w:r>
    </w:p>
    <w:p>
      <w:pPr>
        <w:pStyle w:val="ListBullet"/>
        <w:spacing w:after="40" w:line="276" w:lineRule="auto"/>
        <w:ind w:left="567"/>
      </w:pPr>
      <w:r>
        <w:rPr>
          <w:rFonts w:ascii="Times New Roman" w:hAnsi="Times New Roman" w:cs="Times New Roman"/>
          <w:b w:val="0"/>
          <w:i w:val="0"/>
          <w:sz w:val="24"/>
        </w:rPr>
        <w:t>Figure 3.2 - Malta supply-chain stakeholder map with achieved sample sizes.</w:t>
      </w:r>
    </w:p>
    <w:p>
      <w:pPr>
        <w:pStyle w:val="ListBullet"/>
        <w:spacing w:after="40" w:line="276" w:lineRule="auto"/>
        <w:ind w:left="567"/>
      </w:pPr>
      <w:r>
        <w:rPr>
          <w:rFonts w:ascii="Times New Roman" w:hAnsi="Times New Roman" w:cs="Times New Roman"/>
          <w:b w:val="0"/>
          <w:i w:val="0"/>
          <w:sz w:val="24"/>
        </w:rPr>
        <w:t>Figure 3.3 - RBV framework diagram mapping resources and capabilities to the cost / time / quality dimensions of the chain.</w:t>
      </w:r>
    </w:p>
    <w:p>
      <w:pPr>
        <w:pStyle w:val="ListBullet"/>
        <w:spacing w:after="40" w:line="276" w:lineRule="auto"/>
        <w:ind w:left="567"/>
      </w:pPr>
      <w:r>
        <w:rPr>
          <w:rFonts w:ascii="Times New Roman" w:hAnsi="Times New Roman" w:cs="Times New Roman"/>
          <w:b w:val="0"/>
          <w:i w:val="0"/>
          <w:sz w:val="24"/>
        </w:rPr>
        <w:t>Figure 3.4 - Three-phase Gantt-style timeline of fieldwork.</w:t>
      </w:r>
    </w:p>
    <w:p>
      <w:pPr>
        <w:pStyle w:val="ListBullet"/>
        <w:spacing w:after="40" w:line="276" w:lineRule="auto"/>
        <w:ind w:left="567"/>
      </w:pPr>
      <w:r>
        <w:rPr>
          <w:rFonts w:ascii="Times New Roman" w:hAnsi="Times New Roman" w:cs="Times New Roman"/>
          <w:b w:val="0"/>
          <w:i w:val="0"/>
          <w:sz w:val="24"/>
        </w:rPr>
        <w:t>Figure 3.5 - Source-convergence diagram for the initial 144-factor pool.</w:t>
      </w:r>
    </w:p>
    <w:p>
      <w:pPr>
        <w:pStyle w:val="ListBullet"/>
        <w:spacing w:after="40" w:line="276" w:lineRule="auto"/>
        <w:ind w:left="567"/>
      </w:pPr>
      <w:r>
        <w:rPr>
          <w:rFonts w:ascii="Times New Roman" w:hAnsi="Times New Roman" w:cs="Times New Roman"/>
          <w:b w:val="0"/>
          <w:i w:val="0"/>
          <w:sz w:val="24"/>
        </w:rPr>
        <w:t>Figure 3.6 - Stage × dimension factor distribution (initial vs final).</w:t>
      </w:r>
    </w:p>
    <w:p>
      <w:pPr>
        <w:pStyle w:val="ListBullet"/>
        <w:spacing w:after="40" w:line="276" w:lineRule="auto"/>
        <w:ind w:left="567"/>
      </w:pPr>
      <w:r>
        <w:rPr>
          <w:rFonts w:ascii="Times New Roman" w:hAnsi="Times New Roman" w:cs="Times New Roman"/>
          <w:b w:val="0"/>
          <w:i w:val="0"/>
          <w:sz w:val="24"/>
        </w:rPr>
        <w:t>Figure 3.7 - Three-step refinement funnel (144 → 116 → 94 → 82).</w:t>
      </w:r>
    </w:p>
    <w:p>
      <w:pPr>
        <w:pStyle w:val="ListBullet"/>
        <w:spacing w:after="40" w:line="276" w:lineRule="auto"/>
        <w:ind w:left="567"/>
      </w:pPr>
      <w:r>
        <w:rPr>
          <w:rFonts w:ascii="Times New Roman" w:hAnsi="Times New Roman" w:cs="Times New Roman"/>
          <w:b w:val="0"/>
          <w:i w:val="0"/>
          <w:sz w:val="24"/>
        </w:rPr>
        <w:t>Figure 3.8 - Cronbach's α profile across the 15 sub-scales.</w:t>
      </w:r>
    </w:p>
    <w:p>
      <w:pPr>
        <w:pStyle w:val="ListBullet"/>
        <w:spacing w:after="40" w:line="276" w:lineRule="auto"/>
        <w:ind w:left="567"/>
      </w:pPr>
      <w:r>
        <w:rPr>
          <w:rFonts w:ascii="Times New Roman" w:hAnsi="Times New Roman" w:cs="Times New Roman"/>
          <w:b w:val="0"/>
          <w:i w:val="0"/>
          <w:sz w:val="24"/>
        </w:rPr>
        <w:t>Figure 3.9 - Stratified sampling tree showing strata and districts.</w:t>
      </w:r>
    </w:p>
    <w:p>
      <w:pPr>
        <w:pStyle w:val="ListBullet"/>
        <w:spacing w:after="40" w:line="276" w:lineRule="auto"/>
        <w:ind w:left="567"/>
      </w:pPr>
      <w:r>
        <w:rPr>
          <w:rFonts w:ascii="Times New Roman" w:hAnsi="Times New Roman" w:cs="Times New Roman"/>
          <w:b w:val="0"/>
          <w:i w:val="0"/>
          <w:sz w:val="24"/>
        </w:rPr>
        <w:t>Figure 3.10 - Two-stage MCDM analytical pipeline (Fuzzy AHP + ELECTRE).</w:t>
      </w:r>
    </w:p>
    <w:p>
      <w:pPr>
        <w:keepNext/>
        <w:spacing w:before="240" w:after="120"/>
        <w:jc w:val="left"/>
      </w:pPr>
      <w:r>
        <w:rPr>
          <w:rFonts w:ascii="Times New Roman" w:hAnsi="Times New Roman" w:cs="Times New Roman"/>
          <w:b/>
          <w:i w:val="0"/>
          <w:sz w:val="28"/>
        </w:rPr>
        <w:t>3.14  Chapter Summary</w:t>
      </w:r>
    </w:p>
    <w:p>
      <w:pPr>
        <w:spacing w:line="360" w:lineRule="auto" w:after="120"/>
        <w:ind w:firstLine="425"/>
        <w:jc w:val="both"/>
      </w:pPr>
      <w:r>
        <w:rPr>
          <w:rFonts w:ascii="Times New Roman" w:hAnsi="Times New Roman" w:cs="Times New Roman"/>
          <w:b w:val="0"/>
          <w:i w:val="0"/>
          <w:sz w:val="24"/>
        </w:rPr>
        <w:t>This chapter has set out the research design of the study. A cross-sectional, mixed-method design was chosen, anchored in the Resource-Based View of the firm. Fieldwork was carried out in three phases between September 2024 and December 2025. An initial pool of 144 factors was reduced to 82 factors through expert content validity, pilot reliability and inter-rater consistency. A stratified random sample of 1,300 respondents across five stakeholder groups and five Garhwal districts was achieved. Fuzzy AHP and ELECTRE were selected as the two MCDM techniques. Together, these choices are intended to authenticate the findings and to make them generalisable to comparable hill-citrus chains. The next chapter presents the analysis and results obtained from the application of these techniques on the validated 82-factor instrument.</w:t>
      </w:r>
    </w:p>
    <w:p>
      <w:pPr>
        <w:keepNext/>
        <w:spacing w:before="240" w:after="120"/>
        <w:jc w:val="left"/>
      </w:pPr>
      <w:r>
        <w:rPr>
          <w:rFonts w:ascii="Times New Roman" w:hAnsi="Times New Roman" w:cs="Times New Roman"/>
          <w:b/>
          <w:i w:val="0"/>
          <w:sz w:val="28"/>
        </w:rPr>
        <w:t>References</w:t>
      </w:r>
    </w:p>
    <w:p>
      <w:pPr>
        <w:spacing w:after="80" w:line="276" w:lineRule="auto"/>
        <w:ind w:left="567" w:hanging="567"/>
        <w:jc w:val="both"/>
      </w:pPr>
      <w:r>
        <w:rPr>
          <w:rFonts w:ascii="Times New Roman" w:hAnsi="Times New Roman" w:cs="Times New Roman"/>
          <w:b w:val="0"/>
          <w:i w:val="0"/>
          <w:sz w:val="24"/>
        </w:rPr>
        <w:t>Barney, J. B. (1991). Firm resources and sustained competitive advantage. Journal of Management, 17(1), 99-120.</w:t>
      </w:r>
    </w:p>
    <w:p>
      <w:pPr>
        <w:spacing w:after="80" w:line="276" w:lineRule="auto"/>
        <w:ind w:left="567" w:hanging="567"/>
        <w:jc w:val="both"/>
      </w:pPr>
      <w:r>
        <w:rPr>
          <w:rFonts w:ascii="Times New Roman" w:hAnsi="Times New Roman" w:cs="Times New Roman"/>
          <w:b w:val="0"/>
          <w:i w:val="0"/>
          <w:sz w:val="24"/>
        </w:rPr>
        <w:t>Briggs, S. R., and Cheek, J. M. (1986). The role of factor analysis in the development and evaluation of personality scales. Journal of Personality, 54(1), 106-148.</w:t>
      </w:r>
    </w:p>
    <w:p>
      <w:pPr>
        <w:spacing w:after="80" w:line="276" w:lineRule="auto"/>
        <w:ind w:left="567" w:hanging="567"/>
        <w:jc w:val="both"/>
      </w:pPr>
      <w:r>
        <w:rPr>
          <w:rFonts w:ascii="Times New Roman" w:hAnsi="Times New Roman" w:cs="Times New Roman"/>
          <w:b w:val="0"/>
          <w:i w:val="0"/>
          <w:sz w:val="24"/>
        </w:rPr>
        <w:t>Chang, D. Y. (1996). Applications of the extent analysis method on fuzzy AHP. European Journal of Operational Research, 95(3), 649-655.</w:t>
      </w:r>
    </w:p>
    <w:p>
      <w:pPr>
        <w:spacing w:after="80" w:line="276" w:lineRule="auto"/>
        <w:ind w:left="567" w:hanging="567"/>
        <w:jc w:val="both"/>
      </w:pPr>
      <w:r>
        <w:rPr>
          <w:rFonts w:ascii="Times New Roman" w:hAnsi="Times New Roman" w:cs="Times New Roman"/>
          <w:b w:val="0"/>
          <w:i w:val="0"/>
          <w:sz w:val="24"/>
        </w:rPr>
        <w:t>Govindan, K., Khodaverdi, R., and Jafarian, A. (2013). A fuzzy multi criteria approach for measuring sustainability performance of a supplier based on triple bottom line approach. Journal of Cleaner Production, 47, 345-354.</w:t>
      </w:r>
    </w:p>
    <w:p>
      <w:pPr>
        <w:spacing w:after="80" w:line="276" w:lineRule="auto"/>
        <w:ind w:left="567" w:hanging="567"/>
        <w:jc w:val="both"/>
      </w:pPr>
      <w:r>
        <w:rPr>
          <w:rFonts w:ascii="Times New Roman" w:hAnsi="Times New Roman" w:cs="Times New Roman"/>
          <w:b w:val="0"/>
          <w:i w:val="0"/>
          <w:sz w:val="24"/>
        </w:rPr>
        <w:t>Govindan, K., Kaliyan, M., Kannan, D., and Haq, A. N. (2014). Barriers analysis for green supply chain management implementation in Indian industries using analytic hierarchy process. International Journal of Production Economics, 147, 555-568.</w:t>
      </w:r>
    </w:p>
    <w:p>
      <w:pPr>
        <w:spacing w:after="80" w:line="276" w:lineRule="auto"/>
        <w:ind w:left="567" w:hanging="567"/>
        <w:jc w:val="both"/>
      </w:pPr>
      <w:r>
        <w:rPr>
          <w:rFonts w:ascii="Times New Roman" w:hAnsi="Times New Roman" w:cs="Times New Roman"/>
          <w:b w:val="0"/>
          <w:i w:val="0"/>
          <w:sz w:val="24"/>
        </w:rPr>
        <w:t>Kumar, A., Sah, B., Singh, A. R., Deng, Y., He, X., Kumar, P., and Bansal, R. C. (2017). A review of multi criteria decision making (MCDM) towards sustainable renewable energy development. Renewable and Sustainable Energy Reviews, 69, 596-609.</w:t>
      </w:r>
    </w:p>
    <w:p>
      <w:pPr>
        <w:spacing w:after="80" w:line="276" w:lineRule="auto"/>
        <w:ind w:left="567" w:hanging="567"/>
        <w:jc w:val="both"/>
      </w:pPr>
      <w:r>
        <w:rPr>
          <w:rFonts w:ascii="Times New Roman" w:hAnsi="Times New Roman" w:cs="Times New Roman"/>
          <w:b w:val="0"/>
          <w:i w:val="0"/>
          <w:sz w:val="24"/>
        </w:rPr>
        <w:t>Luthra, S., Mangla, S. K., Xu, L., and Diabat, A. (2016). Using AHP to evaluate barriers in adopting sustainable consumption and production initiatives in a supply chain. International Journal of Production Economics, 181, 342-349.</w:t>
      </w:r>
    </w:p>
    <w:p>
      <w:pPr>
        <w:spacing w:after="80" w:line="276" w:lineRule="auto"/>
        <w:ind w:left="567" w:hanging="567"/>
        <w:jc w:val="both"/>
      </w:pPr>
      <w:r>
        <w:rPr>
          <w:rFonts w:ascii="Times New Roman" w:hAnsi="Times New Roman" w:cs="Times New Roman"/>
          <w:b w:val="0"/>
          <w:i w:val="0"/>
          <w:sz w:val="24"/>
        </w:rPr>
        <w:t>Mangla, S. K., Govindan, K., and Luthra, S. (2017). Prioritizing the barriers to achieve sustainable consumption and production trends in supply chains using fuzzy Analytical Hierarchy Process. Journal of Cleaner Production, 151, 509-525.</w:t>
      </w:r>
    </w:p>
    <w:p>
      <w:pPr>
        <w:spacing w:after="80" w:line="276" w:lineRule="auto"/>
        <w:ind w:left="567" w:hanging="567"/>
        <w:jc w:val="both"/>
      </w:pPr>
      <w:r>
        <w:rPr>
          <w:rFonts w:ascii="Times New Roman" w:hAnsi="Times New Roman" w:cs="Times New Roman"/>
          <w:b w:val="0"/>
          <w:i w:val="0"/>
          <w:sz w:val="24"/>
        </w:rPr>
        <w:t>Mardani, A., Zavadskas, E. K., Khalifah, Z., Jusoh, A., and Nor, K. M. (2016). Multiple criteria decision-making techniques in transportation systems: a systematic review of the state of the art literature. Transport, 31(3), 359-385.</w:t>
      </w:r>
    </w:p>
    <w:p>
      <w:pPr>
        <w:spacing w:after="80" w:line="276" w:lineRule="auto"/>
        <w:ind w:left="567" w:hanging="567"/>
        <w:jc w:val="both"/>
      </w:pPr>
      <w:r>
        <w:rPr>
          <w:rFonts w:ascii="Times New Roman" w:hAnsi="Times New Roman" w:cs="Times New Roman"/>
          <w:b w:val="0"/>
          <w:i w:val="0"/>
          <w:sz w:val="24"/>
        </w:rPr>
        <w:t>Roy, B. (1968). Classement et choix en présence de points de vue multiples (la méthode ELECTRE). RIRO, 8, 57-75.</w:t>
      </w:r>
    </w:p>
    <w:p>
      <w:pPr>
        <w:spacing w:after="80" w:line="276" w:lineRule="auto"/>
        <w:ind w:left="567" w:hanging="567"/>
        <w:jc w:val="both"/>
      </w:pPr>
      <w:r>
        <w:rPr>
          <w:rFonts w:ascii="Times New Roman" w:hAnsi="Times New Roman" w:cs="Times New Roman"/>
          <w:b w:val="0"/>
          <w:i w:val="0"/>
          <w:sz w:val="24"/>
        </w:rPr>
        <w:t>Roy, B. (1991). The outranking approach and the foundations of ELECTRE methods. Theory and Decision, 31(1), 49-73.</w:t>
      </w:r>
    </w:p>
    <w:p>
      <w:pPr>
        <w:spacing w:after="80" w:line="276" w:lineRule="auto"/>
        <w:ind w:left="567" w:hanging="567"/>
        <w:jc w:val="both"/>
      </w:pPr>
      <w:r>
        <w:rPr>
          <w:rFonts w:ascii="Times New Roman" w:hAnsi="Times New Roman" w:cs="Times New Roman"/>
          <w:b w:val="0"/>
          <w:i w:val="0"/>
          <w:sz w:val="24"/>
        </w:rPr>
        <w:t>Saaty, T. L. (1980). The Analytic Hierarchy Process. McGraw-Hill, New York.</w:t>
      </w:r>
    </w:p>
    <w:p>
      <w:pPr>
        <w:spacing w:after="80" w:line="276" w:lineRule="auto"/>
        <w:ind w:left="567" w:hanging="567"/>
        <w:jc w:val="both"/>
      </w:pPr>
      <w:r>
        <w:rPr>
          <w:rFonts w:ascii="Times New Roman" w:hAnsi="Times New Roman" w:cs="Times New Roman"/>
          <w:b w:val="0"/>
          <w:i w:val="0"/>
          <w:sz w:val="24"/>
        </w:rPr>
        <w:t>Saaty, T. L., and Vargas, L. G. (2012). Models, Methods, Concepts and Applications of the Analytic Hierarchy Process (2nd ed.). Springer, New York.</w:t>
      </w:r>
    </w:p>
    <w:p>
      <w:pPr>
        <w:spacing w:after="80" w:line="276" w:lineRule="auto"/>
        <w:ind w:left="567" w:hanging="567"/>
        <w:jc w:val="both"/>
      </w:pPr>
      <w:r>
        <w:rPr>
          <w:rFonts w:ascii="Times New Roman" w:hAnsi="Times New Roman" w:cs="Times New Roman"/>
          <w:b w:val="0"/>
          <w:i w:val="0"/>
          <w:sz w:val="24"/>
        </w:rPr>
        <w:t>Tyagi, M., Kumar, P., and Kumar, D. (2015). Parametric selection of alternatives to improve performance of green supply chain management system. Procedia - Social and Behavioral Sciences, 189, 449-457.</w:t>
      </w:r>
    </w:p>
    <w:p>
      <w:pPr>
        <w:spacing w:after="80" w:line="276" w:lineRule="auto"/>
        <w:ind w:left="567" w:hanging="567"/>
        <w:jc w:val="both"/>
      </w:pPr>
      <w:r>
        <w:rPr>
          <w:rFonts w:ascii="Times New Roman" w:hAnsi="Times New Roman" w:cs="Times New Roman"/>
          <w:b w:val="0"/>
          <w:i w:val="0"/>
          <w:sz w:val="24"/>
        </w:rPr>
        <w:t>van Laarhoven, P. J. M., and Pedrycz, W. (1983). A fuzzy extension of Saaty's priority theory. Fuzzy Sets and Systems, 11(1-3), 229-241.</w:t>
      </w:r>
    </w:p>
    <w:p>
      <w:pPr>
        <w:spacing w:after="80" w:line="276" w:lineRule="auto"/>
        <w:ind w:left="567" w:hanging="567"/>
        <w:jc w:val="both"/>
      </w:pPr>
      <w:r>
        <w:rPr>
          <w:rFonts w:ascii="Times New Roman" w:hAnsi="Times New Roman" w:cs="Times New Roman"/>
          <w:b w:val="0"/>
          <w:i w:val="0"/>
          <w:sz w:val="24"/>
        </w:rPr>
        <w:t>Wernerfelt, B. (1984). A resource-based view of the firm. Strategic Management Journal, 5(2), 171-180.</w:t>
      </w:r>
    </w:p>
    <w:p>
      <w:r>
        <w:t>Barney, J. B. (1995). Looking inside for competitive advantage. Academy of Management Executive, 9(4), 49-61.</w:t>
      </w:r>
    </w:p>
    <w:p>
      <w:r>
        <w:t>Barney, J. B. (1997). Gaining and Sustaining Competitive Advantage. Addison-Wesley, Reading, MA.</w:t>
      </w:r>
    </w:p>
    <w:p>
      <w:r>
        <w:t>Barney, J. B., and Hesterly, W. S. (2010). Strategic Management and Competitive Advantage: Concepts and Cases (3rd ed.). Pearson Prentice Hall, Upper Saddle River, NJ.</w:t>
      </w:r>
    </w:p>
    <w:p>
      <w:r>
        <w:t>Cohen, J. (1960). A coefficient of agreement for nominal scales. Educational and Psychological Measurement, 20(1), 37-46.</w:t>
      </w:r>
    </w:p>
    <w:p>
      <w:r>
        <w:t>Cortina, J. M. (1993). What is coefficient alpha? An examination of theory and applications. Journal of Applied Psychology, 78(1), 98-104.</w:t>
      </w:r>
    </w:p>
    <w:p>
      <w:r>
        <w:t>DeVellis, R. F. (2017). Scale Development: Theory and Applications (4th ed.). Sage, Thousand Oaks, CA.</w:t>
      </w:r>
    </w:p>
    <w:p>
      <w:r>
        <w:t>Hair, J. F., Black, W. C., Babin, B. J., and Anderson, R. E. (2019). Multivariate Data Analysis (8th ed.). Cengage, Andover, UK.</w:t>
      </w:r>
    </w:p>
    <w:p>
      <w:r>
        <w:t>Knott, P. (2009). Integrating resource-based theory in a practice-relevant form. Journal of Strategy and Management, 2(2), 163-174.</w:t>
      </w:r>
    </w:p>
    <w:p>
      <w:r>
        <w:t>Landis, J. R., and Koch, G. G. (1977). The measurement of observer agreement for categorical data. Biometrics, 33(1), 159-174.</w:t>
      </w:r>
    </w:p>
    <w:p>
      <w:r>
        <w:t>Lawshe, C. H. (1975). A quantitative approach to content validity. Personnel Psychology, 28(4), 563-575.</w:t>
      </w:r>
    </w:p>
    <w:p>
      <w:r>
        <w:t>McHugh, M. L. (2012). Interrater reliability: the kappa statistic. Biochemia Medica, 22(3), 276-282.</w:t>
      </w:r>
    </w:p>
    <w:p>
      <w:r>
        <w:t>Newbert, S. L. (2008). Value, rareness, competitive advantage, and performance: a conceptual-level empirical investigation of the resource-based view of the firm. Strategic Management Journal, 29(7), 745-768.</w:t>
      </w:r>
    </w:p>
    <w:p>
      <w:r>
        <w:t>Nunnally, J. C. (1978). Psychometric Theory (2nd ed.). McGraw-Hill, New York.</w:t>
      </w:r>
    </w:p>
    <w:p>
      <w:r>
        <w:t>Peteraf, M. A. (1993). The cornerstones of competitive advantage: a resource-based view. Strategic Management Journal, 14(3), 179-191.</w:t>
      </w:r>
    </w:p>
    <w:p>
      <w:r>
        <w:t>Polit, D. F., and Beck, C. T. (2006). The content validity index: are you sure you know what's being reported? Critique and recommendations. Research in Nursing and Health, 29(5), 489-497.</w:t>
      </w:r>
    </w:p>
    <w:p>
      <w:r>
        <w:t>Polit, D. F., Beck, C. T., and Owen, S. V. (2007). Is the CVI an acceptable indicator of content validity? Appraisal and recommendations. Research in Nursing and Health, 30(4), 459-467.</w:t>
      </w:r>
    </w:p>
    <w:p>
      <w:r>
        <w:t>Tavakol, M., and Dennick, R. (2011). Making sense of Cronbach's alpha. International Journal of Medical Education, 2, 53-55.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