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CHAPTER 3</w:t>
      </w:r>
    </w:p>
    <w:p>
      <w:pPr>
        <w:jc w:val="center"/>
      </w:pPr>
      <w:r>
        <w:rPr>
          <w:rFonts w:ascii="Times New Roman" w:hAnsi="Times New Roman"/>
          <w:b/>
          <w:sz w:val="28"/>
        </w:rPr>
        <w:t>RESEARCH METHODOLOGY</w:t>
      </w:r>
    </w:p>
    <w:p/>
    <w:p>
      <w:pPr>
        <w:keepNext/>
        <w:spacing w:before="280" w:after="160"/>
      </w:pPr>
      <w:r>
        <w:rPr>
          <w:rFonts w:ascii="Times New Roman" w:hAnsi="Times New Roman" w:cs="Times New Roman" w:eastAsia="Times New Roman"/>
          <w:b/>
          <w:sz w:val="28"/>
        </w:rPr>
        <w:t>3.1  Introduction</w:t>
      </w:r>
    </w:p>
    <w:p>
      <w:pPr>
        <w:spacing w:after="120" w:line="360" w:lineRule="auto"/>
        <w:jc w:val="both"/>
      </w:pPr>
      <w:r>
        <w:rPr>
          <w:rFonts w:ascii="Times New Roman" w:hAnsi="Times New Roman" w:cs="Times New Roman" w:eastAsia="Times New Roman"/>
          <w:b w:val="0"/>
          <w:i w:val="0"/>
          <w:sz w:val="24"/>
        </w:rPr>
        <w:t>This chapter presents the research methodology adopted for the present study on the optimisation of the Malta (Citrus sinensis) distribution channel in the Garhwal region of Uttarakhand. The chapter is organised into ten sections covering the research design, the population and sampling frame, the justification of the sample size in the context of Multi-Criteria Decision Making (MCDM) methods, the instrument used for data collection, and the two analytical tools applied in the study, namely Fuzzy Analytic Hierarchy Process (Fuzzy AHP) and Elimination and Choice Translating Reality (ELECTRE). A schematic flow of the complete research process is also presented to provide a single-page view of how data move from the field to the final outranking of distribution-channel alternatives.</w:t>
      </w:r>
    </w:p>
    <w:p>
      <w:pPr>
        <w:keepNext/>
        <w:spacing w:before="280" w:after="160"/>
      </w:pPr>
      <w:r>
        <w:rPr>
          <w:rFonts w:ascii="Times New Roman" w:hAnsi="Times New Roman" w:cs="Times New Roman" w:eastAsia="Times New Roman"/>
          <w:b/>
          <w:sz w:val="28"/>
        </w:rPr>
        <w:t>3.2  Research Design</w:t>
      </w:r>
    </w:p>
    <w:p>
      <w:pPr>
        <w:spacing w:after="120" w:line="360" w:lineRule="auto"/>
        <w:jc w:val="both"/>
      </w:pPr>
      <w:r>
        <w:rPr>
          <w:rFonts w:ascii="Times New Roman" w:hAnsi="Times New Roman" w:cs="Times New Roman" w:eastAsia="Times New Roman"/>
          <w:b w:val="0"/>
          <w:i w:val="0"/>
          <w:sz w:val="24"/>
        </w:rPr>
        <w:t>The study follows a cross-sectional research design. A cross-sectional design captures information from the respondents at a single point in time and is well suited to studies whose objective is to describe the current state of a phenomenon and to model the relative importance of a fixed set of decision criteria (Bryman and Bell, 2015; Saunders et al., 2019). The design is the appropriate choice for this study for the following reasons:</w:t>
      </w:r>
    </w:p>
    <w:p>
      <w:pPr>
        <w:pStyle w:val="ListBullet"/>
        <w:spacing w:after="40"/>
      </w:pPr>
      <w:r/>
      <w:r>
        <w:rPr>
          <w:rFonts w:ascii="Times New Roman" w:hAnsi="Times New Roman" w:cs="Times New Roman" w:eastAsia="Times New Roman"/>
          <w:sz w:val="24"/>
        </w:rPr>
        <w:t>The Malta marketing season in the Garhwal region is short (approximately October to February). A cross-sectional snapshot captures stakeholder perceptions during a single representative season and avoids confounding effects that would arise across multiple harvest cycles.</w:t>
      </w:r>
    </w:p>
    <w:p>
      <w:pPr>
        <w:pStyle w:val="ListBullet"/>
        <w:spacing w:after="40"/>
      </w:pPr>
      <w:r/>
      <w:r>
        <w:rPr>
          <w:rFonts w:ascii="Times New Roman" w:hAnsi="Times New Roman" w:cs="Times New Roman" w:eastAsia="Times New Roman"/>
          <w:sz w:val="24"/>
        </w:rPr>
        <w:t>The objective of the study is not to track change over time but to prioritise criteria and to rank existing distribution-channel alternatives. This decision-analytic objective is naturally served by a single, well-structured cross-sectional sample.</w:t>
      </w:r>
    </w:p>
    <w:p>
      <w:pPr>
        <w:pStyle w:val="ListBullet"/>
        <w:spacing w:after="40"/>
      </w:pPr>
      <w:r/>
      <w:r>
        <w:rPr>
          <w:rFonts w:ascii="Times New Roman" w:hAnsi="Times New Roman" w:cs="Times New Roman" w:eastAsia="Times New Roman"/>
          <w:sz w:val="24"/>
        </w:rPr>
        <w:t>Cross-sectional designs are economical in terms of time and cost, and they permit the simultaneous collection of data from a geographically dispersed and stakeholder-heterogeneous frame, which is precisely the configuration required for the present study.</w:t>
      </w:r>
    </w:p>
    <w:p>
      <w:pPr>
        <w:keepNext/>
        <w:spacing w:before="160" w:after="80"/>
      </w:pPr>
      <w:r>
        <w:rPr>
          <w:rFonts w:ascii="Times New Roman" w:hAnsi="Times New Roman" w:cs="Times New Roman" w:eastAsia="Times New Roman"/>
          <w:i/>
          <w:sz w:val="24"/>
        </w:rPr>
        <w:t>3.2.1  Nature of the Study</w:t>
      </w:r>
    </w:p>
    <w:p>
      <w:pPr>
        <w:spacing w:after="120" w:line="360" w:lineRule="auto"/>
        <w:jc w:val="both"/>
      </w:pPr>
      <w:r>
        <w:rPr>
          <w:rFonts w:ascii="Times New Roman" w:hAnsi="Times New Roman" w:cs="Times New Roman" w:eastAsia="Times New Roman"/>
          <w:b w:val="0"/>
          <w:i w:val="0"/>
          <w:sz w:val="24"/>
        </w:rPr>
        <w:t>The study is descriptive and analytical in nature. It is descriptive in that it captures the current configuration of the Malta distribution channel, and it is analytical in that it applies Fuzzy AHP and ELECTRE to the collected data to derive criterion weights and to rank alternative distribution channels.</w:t>
      </w:r>
    </w:p>
    <w:p>
      <w:pPr>
        <w:keepNext/>
        <w:spacing w:before="280" w:after="160"/>
      </w:pPr>
      <w:r>
        <w:rPr>
          <w:rFonts w:ascii="Times New Roman" w:hAnsi="Times New Roman" w:cs="Times New Roman" w:eastAsia="Times New Roman"/>
          <w:b/>
          <w:sz w:val="28"/>
        </w:rPr>
        <w:t>3.3  Population and Sampling Frame</w:t>
      </w:r>
    </w:p>
    <w:p>
      <w:pPr>
        <w:spacing w:after="120" w:line="360" w:lineRule="auto"/>
        <w:jc w:val="both"/>
      </w:pPr>
      <w:r>
        <w:rPr>
          <w:rFonts w:ascii="Times New Roman" w:hAnsi="Times New Roman" w:cs="Times New Roman" w:eastAsia="Times New Roman"/>
          <w:b w:val="0"/>
          <w:i w:val="0"/>
          <w:sz w:val="24"/>
        </w:rPr>
        <w:t>The target population consists of all stakeholders engaged in the Malta distribution channel in the Garhwal region of Uttarakhand. Four districts — Pauri Garhwal, Tehri Garhwal, Rudraprayag and Chamoli — were purposively selected as they together account for the dominant share of Malta cultivation in the region. Within each district, seven stakeholder categories were enumerated: Farmers, Village Traders, Commission Agents, Wholesalers, Retailers, Transporters and Experts / Officials.</w:t>
      </w:r>
    </w:p>
    <w:p>
      <w:pPr>
        <w:keepNext/>
        <w:spacing w:before="160" w:after="80"/>
      </w:pPr>
      <w:r>
        <w:rPr>
          <w:rFonts w:ascii="Times New Roman" w:hAnsi="Times New Roman" w:cs="Times New Roman" w:eastAsia="Times New Roman"/>
          <w:i/>
          <w:sz w:val="24"/>
        </w:rPr>
        <w:t>3.3.1  Sampling Technique</w:t>
      </w:r>
    </w:p>
    <w:p>
      <w:pPr>
        <w:spacing w:after="120" w:line="360" w:lineRule="auto"/>
        <w:jc w:val="both"/>
      </w:pPr>
      <w:r>
        <w:rPr>
          <w:rFonts w:ascii="Times New Roman" w:hAnsi="Times New Roman" w:cs="Times New Roman" w:eastAsia="Times New Roman"/>
          <w:b w:val="0"/>
          <w:i w:val="0"/>
          <w:sz w:val="24"/>
        </w:rPr>
        <w:t>A multi-stage purposive sampling technique was used. In the first stage, the four Malta-producing districts were purposively selected. In the second stage, leading Malta-growing blocks within each district were identified in consultation with the Horticulture Department. In the third stage, respondents were drawn from each stakeholder category in proportion to the local intensity of Malta trade. Snowball sampling was used at the wholesaler, commission-agent and transporter levels because comprehensive listings of these actors are not publicly available.</w:t>
      </w:r>
    </w:p>
    <w:p>
      <w:pPr>
        <w:keepNext/>
        <w:spacing w:before="160" w:after="80"/>
      </w:pPr>
      <w:r>
        <w:rPr>
          <w:rFonts w:ascii="Times New Roman" w:hAnsi="Times New Roman" w:cs="Times New Roman" w:eastAsia="Times New Roman"/>
          <w:i/>
          <w:sz w:val="24"/>
        </w:rPr>
        <w:t>3.3.2  Achieved Sample (n = 1,300)</w:t>
      </w:r>
    </w:p>
    <w:p>
      <w:pPr>
        <w:spacing w:after="120" w:line="360" w:lineRule="auto"/>
        <w:jc w:val="both"/>
      </w:pPr>
      <w:r>
        <w:rPr>
          <w:rFonts w:ascii="Times New Roman" w:hAnsi="Times New Roman" w:cs="Times New Roman" w:eastAsia="Times New Roman"/>
          <w:b w:val="0"/>
          <w:i w:val="0"/>
          <w:sz w:val="24"/>
        </w:rPr>
        <w:t>A total of 1,300 valid and complete responses were obtained. The stakeholder-wise and district-wise distributions are reported in Tables 3.1 and 3.2 respectively.</w:t>
      </w:r>
    </w:p>
    <w:p>
      <w:pPr>
        <w:spacing w:before="160" w:after="80"/>
        <w:jc w:val="center"/>
      </w:pPr>
      <w:r>
        <w:rPr>
          <w:rFonts w:ascii="Times New Roman" w:hAnsi="Times New Roman" w:cs="Times New Roman" w:eastAsia="Times New Roman"/>
          <w:b/>
          <w:sz w:val="22"/>
        </w:rPr>
        <w:t>Table 3.1: Stakeholder-wise Distribution of Respondents (n = 1,300)</w:t>
      </w:r>
    </w:p>
    <w:tbl>
      <w:tblPr>
        <w:tblStyle w:val="LightGrid-Accent1"/>
        <w:tblW w:type="auto" w:w="0"/>
        <w:tblLook w:firstColumn="1" w:firstRow="1" w:lastColumn="0" w:lastRow="0" w:noHBand="0" w:noVBand="1" w:val="04A0"/>
      </w:tblPr>
      <w:tblGrid>
        <w:gridCol w:w="2280"/>
        <w:gridCol w:w="2280"/>
        <w:gridCol w:w="2280"/>
        <w:gridCol w:w="2280"/>
      </w:tblGrid>
      <w:tr>
        <w:tc>
          <w:tcPr>
            <w:tcW w:type="dxa" w:w="2280"/>
            <w:shd w:val="clear" w:color="auto" w:fill="D9E1F2"/>
          </w:tcPr>
          <w:p>
            <w:pPr>
              <w:jc w:val="center"/>
            </w:pPr>
            <w:r/>
            <w:r>
              <w:rPr>
                <w:rFonts w:ascii="Times New Roman" w:hAnsi="Times New Roman" w:cs="Times New Roman" w:eastAsia="Times New Roman"/>
                <w:b/>
                <w:sz w:val="22"/>
              </w:rPr>
              <w:t>S. No.</w:t>
            </w:r>
          </w:p>
        </w:tc>
        <w:tc>
          <w:tcPr>
            <w:tcW w:type="dxa" w:w="2280"/>
            <w:shd w:val="clear" w:color="auto" w:fill="D9E1F2"/>
          </w:tcPr>
          <w:p>
            <w:pPr>
              <w:jc w:val="center"/>
            </w:pPr>
            <w:r/>
            <w:r>
              <w:rPr>
                <w:rFonts w:ascii="Times New Roman" w:hAnsi="Times New Roman" w:cs="Times New Roman" w:eastAsia="Times New Roman"/>
                <w:b/>
                <w:sz w:val="22"/>
              </w:rPr>
              <w:t>Stakeholder Category</w:t>
            </w:r>
          </w:p>
        </w:tc>
        <w:tc>
          <w:tcPr>
            <w:tcW w:type="dxa" w:w="2280"/>
            <w:shd w:val="clear" w:color="auto" w:fill="D9E1F2"/>
          </w:tcPr>
          <w:p>
            <w:pPr>
              <w:jc w:val="center"/>
            </w:pPr>
            <w:r/>
            <w:r>
              <w:rPr>
                <w:rFonts w:ascii="Times New Roman" w:hAnsi="Times New Roman" w:cs="Times New Roman" w:eastAsia="Times New Roman"/>
                <w:b/>
                <w:sz w:val="22"/>
              </w:rPr>
              <w:t>No. of Respondents</w:t>
            </w:r>
          </w:p>
        </w:tc>
        <w:tc>
          <w:tcPr>
            <w:tcW w:type="dxa" w:w="2280"/>
            <w:shd w:val="clear" w:color="auto" w:fill="D9E1F2"/>
          </w:tcPr>
          <w:p>
            <w:pPr>
              <w:jc w:val="center"/>
            </w:pPr>
            <w:r/>
            <w:r>
              <w:rPr>
                <w:rFonts w:ascii="Times New Roman" w:hAnsi="Times New Roman" w:cs="Times New Roman" w:eastAsia="Times New Roman"/>
                <w:b/>
                <w:sz w:val="22"/>
              </w:rPr>
              <w:t>Share (%)</w:t>
            </w:r>
          </w:p>
        </w:tc>
      </w:tr>
      <w:tr>
        <w:tc>
          <w:tcPr>
            <w:tcW w:type="dxa" w:w="2280"/>
          </w:tcPr>
          <w:p>
            <w:pPr>
              <w:jc w:val="center"/>
            </w:pPr>
            <w:r/>
            <w:r>
              <w:rPr>
                <w:rFonts w:ascii="Times New Roman" w:hAnsi="Times New Roman" w:cs="Times New Roman" w:eastAsia="Times New Roman"/>
                <w:sz w:val="22"/>
              </w:rPr>
              <w:t>1</w:t>
            </w:r>
          </w:p>
        </w:tc>
        <w:tc>
          <w:tcPr>
            <w:tcW w:type="dxa" w:w="2280"/>
          </w:tcPr>
          <w:p>
            <w:pPr>
              <w:jc w:val="center"/>
            </w:pPr>
            <w:r/>
            <w:r>
              <w:rPr>
                <w:rFonts w:ascii="Times New Roman" w:hAnsi="Times New Roman" w:cs="Times New Roman" w:eastAsia="Times New Roman"/>
                <w:sz w:val="22"/>
              </w:rPr>
              <w:t>Farmers</w:t>
            </w:r>
          </w:p>
        </w:tc>
        <w:tc>
          <w:tcPr>
            <w:tcW w:type="dxa" w:w="2280"/>
          </w:tcPr>
          <w:p>
            <w:pPr>
              <w:jc w:val="center"/>
            </w:pPr>
            <w:r/>
            <w:r>
              <w:rPr>
                <w:rFonts w:ascii="Times New Roman" w:hAnsi="Times New Roman" w:cs="Times New Roman" w:eastAsia="Times New Roman"/>
                <w:sz w:val="22"/>
              </w:rPr>
              <w:t>650</w:t>
            </w:r>
          </w:p>
        </w:tc>
        <w:tc>
          <w:tcPr>
            <w:tcW w:type="dxa" w:w="2280"/>
          </w:tcPr>
          <w:p>
            <w:pPr>
              <w:jc w:val="center"/>
            </w:pPr>
            <w:r/>
            <w:r>
              <w:rPr>
                <w:rFonts w:ascii="Times New Roman" w:hAnsi="Times New Roman" w:cs="Times New Roman" w:eastAsia="Times New Roman"/>
                <w:sz w:val="22"/>
              </w:rPr>
              <w:t>50.0%</w:t>
            </w:r>
          </w:p>
        </w:tc>
      </w:tr>
      <w:tr>
        <w:tc>
          <w:tcPr>
            <w:tcW w:type="dxa" w:w="2280"/>
          </w:tcPr>
          <w:p>
            <w:pPr>
              <w:jc w:val="center"/>
            </w:pPr>
            <w:r/>
            <w:r>
              <w:rPr>
                <w:rFonts w:ascii="Times New Roman" w:hAnsi="Times New Roman" w:cs="Times New Roman" w:eastAsia="Times New Roman"/>
                <w:sz w:val="22"/>
              </w:rPr>
              <w:t>2</w:t>
            </w:r>
          </w:p>
        </w:tc>
        <w:tc>
          <w:tcPr>
            <w:tcW w:type="dxa" w:w="2280"/>
          </w:tcPr>
          <w:p>
            <w:pPr>
              <w:jc w:val="center"/>
            </w:pPr>
            <w:r/>
            <w:r>
              <w:rPr>
                <w:rFonts w:ascii="Times New Roman" w:hAnsi="Times New Roman" w:cs="Times New Roman" w:eastAsia="Times New Roman"/>
                <w:sz w:val="22"/>
              </w:rPr>
              <w:t>Wholesalers</w:t>
            </w:r>
          </w:p>
        </w:tc>
        <w:tc>
          <w:tcPr>
            <w:tcW w:type="dxa" w:w="2280"/>
          </w:tcPr>
          <w:p>
            <w:pPr>
              <w:jc w:val="center"/>
            </w:pPr>
            <w:r/>
            <w:r>
              <w:rPr>
                <w:rFonts w:ascii="Times New Roman" w:hAnsi="Times New Roman" w:cs="Times New Roman" w:eastAsia="Times New Roman"/>
                <w:sz w:val="22"/>
              </w:rPr>
              <w:t>130</w:t>
            </w:r>
          </w:p>
        </w:tc>
        <w:tc>
          <w:tcPr>
            <w:tcW w:type="dxa" w:w="2280"/>
          </w:tcPr>
          <w:p>
            <w:pPr>
              <w:jc w:val="center"/>
            </w:pPr>
            <w:r/>
            <w:r>
              <w:rPr>
                <w:rFonts w:ascii="Times New Roman" w:hAnsi="Times New Roman" w:cs="Times New Roman" w:eastAsia="Times New Roman"/>
                <w:sz w:val="22"/>
              </w:rPr>
              <w:t>10.0%</w:t>
            </w:r>
          </w:p>
        </w:tc>
      </w:tr>
      <w:tr>
        <w:tc>
          <w:tcPr>
            <w:tcW w:type="dxa" w:w="2280"/>
          </w:tcPr>
          <w:p>
            <w:pPr>
              <w:jc w:val="center"/>
            </w:pPr>
            <w:r/>
            <w:r>
              <w:rPr>
                <w:rFonts w:ascii="Times New Roman" w:hAnsi="Times New Roman" w:cs="Times New Roman" w:eastAsia="Times New Roman"/>
                <w:sz w:val="22"/>
              </w:rPr>
              <w:t>3</w:t>
            </w:r>
          </w:p>
        </w:tc>
        <w:tc>
          <w:tcPr>
            <w:tcW w:type="dxa" w:w="2280"/>
          </w:tcPr>
          <w:p>
            <w:pPr>
              <w:jc w:val="center"/>
            </w:pPr>
            <w:r/>
            <w:r>
              <w:rPr>
                <w:rFonts w:ascii="Times New Roman" w:hAnsi="Times New Roman" w:cs="Times New Roman" w:eastAsia="Times New Roman"/>
                <w:sz w:val="22"/>
              </w:rPr>
              <w:t>Transporters</w:t>
            </w:r>
          </w:p>
        </w:tc>
        <w:tc>
          <w:tcPr>
            <w:tcW w:type="dxa" w:w="2280"/>
          </w:tcPr>
          <w:p>
            <w:pPr>
              <w:jc w:val="center"/>
            </w:pPr>
            <w:r/>
            <w:r>
              <w:rPr>
                <w:rFonts w:ascii="Times New Roman" w:hAnsi="Times New Roman" w:cs="Times New Roman" w:eastAsia="Times New Roman"/>
                <w:sz w:val="22"/>
              </w:rPr>
              <w:t>130</w:t>
            </w:r>
          </w:p>
        </w:tc>
        <w:tc>
          <w:tcPr>
            <w:tcW w:type="dxa" w:w="2280"/>
          </w:tcPr>
          <w:p>
            <w:pPr>
              <w:jc w:val="center"/>
            </w:pPr>
            <w:r/>
            <w:r>
              <w:rPr>
                <w:rFonts w:ascii="Times New Roman" w:hAnsi="Times New Roman" w:cs="Times New Roman" w:eastAsia="Times New Roman"/>
                <w:sz w:val="22"/>
              </w:rPr>
              <w:t>10.0%</w:t>
            </w:r>
          </w:p>
        </w:tc>
      </w:tr>
      <w:tr>
        <w:tc>
          <w:tcPr>
            <w:tcW w:type="dxa" w:w="2280"/>
          </w:tcPr>
          <w:p>
            <w:pPr>
              <w:jc w:val="center"/>
            </w:pPr>
            <w:r/>
            <w:r>
              <w:rPr>
                <w:rFonts w:ascii="Times New Roman" w:hAnsi="Times New Roman" w:cs="Times New Roman" w:eastAsia="Times New Roman"/>
                <w:sz w:val="22"/>
              </w:rPr>
              <w:t>4</w:t>
            </w:r>
          </w:p>
        </w:tc>
        <w:tc>
          <w:tcPr>
            <w:tcW w:type="dxa" w:w="2280"/>
          </w:tcPr>
          <w:p>
            <w:pPr>
              <w:jc w:val="center"/>
            </w:pPr>
            <w:r/>
            <w:r>
              <w:rPr>
                <w:rFonts w:ascii="Times New Roman" w:hAnsi="Times New Roman" w:cs="Times New Roman" w:eastAsia="Times New Roman"/>
                <w:sz w:val="22"/>
              </w:rPr>
              <w:t>Retailers</w:t>
            </w:r>
          </w:p>
        </w:tc>
        <w:tc>
          <w:tcPr>
            <w:tcW w:type="dxa" w:w="2280"/>
          </w:tcPr>
          <w:p>
            <w:pPr>
              <w:jc w:val="center"/>
            </w:pPr>
            <w:r/>
            <w:r>
              <w:rPr>
                <w:rFonts w:ascii="Times New Roman" w:hAnsi="Times New Roman" w:cs="Times New Roman" w:eastAsia="Times New Roman"/>
                <w:sz w:val="22"/>
              </w:rPr>
              <w:t>130</w:t>
            </w:r>
          </w:p>
        </w:tc>
        <w:tc>
          <w:tcPr>
            <w:tcW w:type="dxa" w:w="2280"/>
          </w:tcPr>
          <w:p>
            <w:pPr>
              <w:jc w:val="center"/>
            </w:pPr>
            <w:r/>
            <w:r>
              <w:rPr>
                <w:rFonts w:ascii="Times New Roman" w:hAnsi="Times New Roman" w:cs="Times New Roman" w:eastAsia="Times New Roman"/>
                <w:sz w:val="22"/>
              </w:rPr>
              <w:t>10.0%</w:t>
            </w:r>
          </w:p>
        </w:tc>
      </w:tr>
      <w:tr>
        <w:tc>
          <w:tcPr>
            <w:tcW w:type="dxa" w:w="2280"/>
          </w:tcPr>
          <w:p>
            <w:pPr>
              <w:jc w:val="center"/>
            </w:pPr>
            <w:r/>
            <w:r>
              <w:rPr>
                <w:rFonts w:ascii="Times New Roman" w:hAnsi="Times New Roman" w:cs="Times New Roman" w:eastAsia="Times New Roman"/>
                <w:sz w:val="22"/>
              </w:rPr>
              <w:t>5</w:t>
            </w:r>
          </w:p>
        </w:tc>
        <w:tc>
          <w:tcPr>
            <w:tcW w:type="dxa" w:w="2280"/>
          </w:tcPr>
          <w:p>
            <w:pPr>
              <w:jc w:val="center"/>
            </w:pPr>
            <w:r/>
            <w:r>
              <w:rPr>
                <w:rFonts w:ascii="Times New Roman" w:hAnsi="Times New Roman" w:cs="Times New Roman" w:eastAsia="Times New Roman"/>
                <w:sz w:val="22"/>
              </w:rPr>
              <w:t>Village Traders</w:t>
            </w:r>
          </w:p>
        </w:tc>
        <w:tc>
          <w:tcPr>
            <w:tcW w:type="dxa" w:w="2280"/>
          </w:tcPr>
          <w:p>
            <w:pPr>
              <w:jc w:val="center"/>
            </w:pPr>
            <w:r/>
            <w:r>
              <w:rPr>
                <w:rFonts w:ascii="Times New Roman" w:hAnsi="Times New Roman" w:cs="Times New Roman" w:eastAsia="Times New Roman"/>
                <w:sz w:val="22"/>
              </w:rPr>
              <w:t>117</w:t>
            </w:r>
          </w:p>
        </w:tc>
        <w:tc>
          <w:tcPr>
            <w:tcW w:type="dxa" w:w="2280"/>
          </w:tcPr>
          <w:p>
            <w:pPr>
              <w:jc w:val="center"/>
            </w:pPr>
            <w:r/>
            <w:r>
              <w:rPr>
                <w:rFonts w:ascii="Times New Roman" w:hAnsi="Times New Roman" w:cs="Times New Roman" w:eastAsia="Times New Roman"/>
                <w:sz w:val="22"/>
              </w:rPr>
              <w:t>9.0%</w:t>
            </w:r>
          </w:p>
        </w:tc>
      </w:tr>
      <w:tr>
        <w:tc>
          <w:tcPr>
            <w:tcW w:type="dxa" w:w="2280"/>
          </w:tcPr>
          <w:p>
            <w:pPr>
              <w:jc w:val="center"/>
            </w:pPr>
            <w:r/>
            <w:r>
              <w:rPr>
                <w:rFonts w:ascii="Times New Roman" w:hAnsi="Times New Roman" w:cs="Times New Roman" w:eastAsia="Times New Roman"/>
                <w:sz w:val="22"/>
              </w:rPr>
              <w:t>6</w:t>
            </w:r>
          </w:p>
        </w:tc>
        <w:tc>
          <w:tcPr>
            <w:tcW w:type="dxa" w:w="2280"/>
          </w:tcPr>
          <w:p>
            <w:pPr>
              <w:jc w:val="center"/>
            </w:pPr>
            <w:r/>
            <w:r>
              <w:rPr>
                <w:rFonts w:ascii="Times New Roman" w:hAnsi="Times New Roman" w:cs="Times New Roman" w:eastAsia="Times New Roman"/>
                <w:sz w:val="22"/>
              </w:rPr>
              <w:t>Commission Agents</w:t>
            </w:r>
          </w:p>
        </w:tc>
        <w:tc>
          <w:tcPr>
            <w:tcW w:type="dxa" w:w="2280"/>
          </w:tcPr>
          <w:p>
            <w:pPr>
              <w:jc w:val="center"/>
            </w:pPr>
            <w:r/>
            <w:r>
              <w:rPr>
                <w:rFonts w:ascii="Times New Roman" w:hAnsi="Times New Roman" w:cs="Times New Roman" w:eastAsia="Times New Roman"/>
                <w:sz w:val="22"/>
              </w:rPr>
              <w:t>78</w:t>
            </w:r>
          </w:p>
        </w:tc>
        <w:tc>
          <w:tcPr>
            <w:tcW w:type="dxa" w:w="2280"/>
          </w:tcPr>
          <w:p>
            <w:pPr>
              <w:jc w:val="center"/>
            </w:pPr>
            <w:r/>
            <w:r>
              <w:rPr>
                <w:rFonts w:ascii="Times New Roman" w:hAnsi="Times New Roman" w:cs="Times New Roman" w:eastAsia="Times New Roman"/>
                <w:sz w:val="22"/>
              </w:rPr>
              <w:t>6.0%</w:t>
            </w:r>
          </w:p>
        </w:tc>
      </w:tr>
      <w:tr>
        <w:tc>
          <w:tcPr>
            <w:tcW w:type="dxa" w:w="2280"/>
          </w:tcPr>
          <w:p>
            <w:pPr>
              <w:jc w:val="center"/>
            </w:pPr>
            <w:r/>
            <w:r>
              <w:rPr>
                <w:rFonts w:ascii="Times New Roman" w:hAnsi="Times New Roman" w:cs="Times New Roman" w:eastAsia="Times New Roman"/>
                <w:sz w:val="22"/>
              </w:rPr>
              <w:t>7</w:t>
            </w:r>
          </w:p>
        </w:tc>
        <w:tc>
          <w:tcPr>
            <w:tcW w:type="dxa" w:w="2280"/>
          </w:tcPr>
          <w:p>
            <w:pPr>
              <w:jc w:val="center"/>
            </w:pPr>
            <w:r/>
            <w:r>
              <w:rPr>
                <w:rFonts w:ascii="Times New Roman" w:hAnsi="Times New Roman" w:cs="Times New Roman" w:eastAsia="Times New Roman"/>
                <w:sz w:val="22"/>
              </w:rPr>
              <w:t>Experts / Officials</w:t>
            </w:r>
          </w:p>
        </w:tc>
        <w:tc>
          <w:tcPr>
            <w:tcW w:type="dxa" w:w="2280"/>
          </w:tcPr>
          <w:p>
            <w:pPr>
              <w:jc w:val="center"/>
            </w:pPr>
            <w:r/>
            <w:r>
              <w:rPr>
                <w:rFonts w:ascii="Times New Roman" w:hAnsi="Times New Roman" w:cs="Times New Roman" w:eastAsia="Times New Roman"/>
                <w:sz w:val="22"/>
              </w:rPr>
              <w:t>65</w:t>
            </w:r>
          </w:p>
        </w:tc>
        <w:tc>
          <w:tcPr>
            <w:tcW w:type="dxa" w:w="2280"/>
          </w:tcPr>
          <w:p>
            <w:pPr>
              <w:jc w:val="center"/>
            </w:pPr>
            <w:r/>
            <w:r>
              <w:rPr>
                <w:rFonts w:ascii="Times New Roman" w:hAnsi="Times New Roman" w:cs="Times New Roman" w:eastAsia="Times New Roman"/>
                <w:sz w:val="22"/>
              </w:rPr>
              <w:t>5.0%</w:t>
            </w:r>
          </w:p>
        </w:tc>
      </w:tr>
      <w:tr>
        <w:tc>
          <w:tcPr>
            <w:tcW w:type="dxa" w:w="2280"/>
          </w:tcPr>
          <w:p>
            <w:pPr>
              <w:jc w:val="center"/>
            </w:pPr>
            <w:r/>
            <w:r>
              <w:rPr>
                <w:rFonts w:ascii="Times New Roman" w:hAnsi="Times New Roman" w:cs="Times New Roman" w:eastAsia="Times New Roman"/>
                <w:sz w:val="22"/>
              </w:rPr>
            </w:r>
          </w:p>
        </w:tc>
        <w:tc>
          <w:tcPr>
            <w:tcW w:type="dxa" w:w="2280"/>
          </w:tcPr>
          <w:p>
            <w:pPr>
              <w:jc w:val="center"/>
            </w:pPr>
            <w:r/>
            <w:r>
              <w:rPr>
                <w:rFonts w:ascii="Times New Roman" w:hAnsi="Times New Roman" w:cs="Times New Roman" w:eastAsia="Times New Roman"/>
                <w:sz w:val="22"/>
              </w:rPr>
              <w:t>Total</w:t>
            </w:r>
          </w:p>
        </w:tc>
        <w:tc>
          <w:tcPr>
            <w:tcW w:type="dxa" w:w="2280"/>
          </w:tcPr>
          <w:p>
            <w:pPr>
              <w:jc w:val="center"/>
            </w:pPr>
            <w:r/>
            <w:r>
              <w:rPr>
                <w:rFonts w:ascii="Times New Roman" w:hAnsi="Times New Roman" w:cs="Times New Roman" w:eastAsia="Times New Roman"/>
                <w:sz w:val="22"/>
              </w:rPr>
              <w:t>1,300</w:t>
            </w:r>
          </w:p>
        </w:tc>
        <w:tc>
          <w:tcPr>
            <w:tcW w:type="dxa" w:w="2280"/>
          </w:tcPr>
          <w:p>
            <w:pPr>
              <w:jc w:val="center"/>
            </w:pPr>
            <w:r/>
            <w:r>
              <w:rPr>
                <w:rFonts w:ascii="Times New Roman" w:hAnsi="Times New Roman" w:cs="Times New Roman" w:eastAsia="Times New Roman"/>
                <w:sz w:val="22"/>
              </w:rPr>
              <w:t>100.0%</w:t>
            </w:r>
          </w:p>
        </w:tc>
      </w:tr>
    </w:tbl>
    <w:p/>
    <w:p>
      <w:pPr>
        <w:spacing w:before="160" w:after="80"/>
        <w:jc w:val="center"/>
      </w:pPr>
      <w:r>
        <w:rPr>
          <w:rFonts w:ascii="Times New Roman" w:hAnsi="Times New Roman" w:cs="Times New Roman" w:eastAsia="Times New Roman"/>
          <w:b/>
          <w:sz w:val="22"/>
        </w:rPr>
        <w:t>Table 3.2: District-wise Distribution of Respondents (n = 1,300)</w:t>
      </w:r>
    </w:p>
    <w:tbl>
      <w:tblPr>
        <w:tblStyle w:val="LightGrid-Accent1"/>
        <w:tblW w:type="auto" w:w="0"/>
        <w:tblLook w:firstColumn="1" w:firstRow="1" w:lastColumn="0" w:lastRow="0" w:noHBand="0" w:noVBand="1" w:val="04A0"/>
      </w:tblPr>
      <w:tblGrid>
        <w:gridCol w:w="2280"/>
        <w:gridCol w:w="2280"/>
        <w:gridCol w:w="2280"/>
        <w:gridCol w:w="2280"/>
      </w:tblGrid>
      <w:tr>
        <w:tc>
          <w:tcPr>
            <w:tcW w:type="dxa" w:w="2280"/>
            <w:shd w:val="clear" w:color="auto" w:fill="D9E1F2"/>
          </w:tcPr>
          <w:p>
            <w:pPr>
              <w:jc w:val="center"/>
            </w:pPr>
            <w:r/>
            <w:r>
              <w:rPr>
                <w:rFonts w:ascii="Times New Roman" w:hAnsi="Times New Roman" w:cs="Times New Roman" w:eastAsia="Times New Roman"/>
                <w:b/>
                <w:sz w:val="22"/>
              </w:rPr>
              <w:t>S. No.</w:t>
            </w:r>
          </w:p>
        </w:tc>
        <w:tc>
          <w:tcPr>
            <w:tcW w:type="dxa" w:w="2280"/>
            <w:shd w:val="clear" w:color="auto" w:fill="D9E1F2"/>
          </w:tcPr>
          <w:p>
            <w:pPr>
              <w:jc w:val="center"/>
            </w:pPr>
            <w:r/>
            <w:r>
              <w:rPr>
                <w:rFonts w:ascii="Times New Roman" w:hAnsi="Times New Roman" w:cs="Times New Roman" w:eastAsia="Times New Roman"/>
                <w:b/>
                <w:sz w:val="22"/>
              </w:rPr>
              <w:t>District (Garhwal Region)</w:t>
            </w:r>
          </w:p>
        </w:tc>
        <w:tc>
          <w:tcPr>
            <w:tcW w:type="dxa" w:w="2280"/>
            <w:shd w:val="clear" w:color="auto" w:fill="D9E1F2"/>
          </w:tcPr>
          <w:p>
            <w:pPr>
              <w:jc w:val="center"/>
            </w:pPr>
            <w:r/>
            <w:r>
              <w:rPr>
                <w:rFonts w:ascii="Times New Roman" w:hAnsi="Times New Roman" w:cs="Times New Roman" w:eastAsia="Times New Roman"/>
                <w:b/>
                <w:sz w:val="22"/>
              </w:rPr>
              <w:t>No. of Respondents</w:t>
            </w:r>
          </w:p>
        </w:tc>
        <w:tc>
          <w:tcPr>
            <w:tcW w:type="dxa" w:w="2280"/>
            <w:shd w:val="clear" w:color="auto" w:fill="D9E1F2"/>
          </w:tcPr>
          <w:p>
            <w:pPr>
              <w:jc w:val="center"/>
            </w:pPr>
            <w:r/>
            <w:r>
              <w:rPr>
                <w:rFonts w:ascii="Times New Roman" w:hAnsi="Times New Roman" w:cs="Times New Roman" w:eastAsia="Times New Roman"/>
                <w:b/>
                <w:sz w:val="22"/>
              </w:rPr>
              <w:t>Share (%)</w:t>
            </w:r>
          </w:p>
        </w:tc>
      </w:tr>
      <w:tr>
        <w:tc>
          <w:tcPr>
            <w:tcW w:type="dxa" w:w="2280"/>
          </w:tcPr>
          <w:p>
            <w:pPr>
              <w:jc w:val="center"/>
            </w:pPr>
            <w:r/>
            <w:r>
              <w:rPr>
                <w:rFonts w:ascii="Times New Roman" w:hAnsi="Times New Roman" w:cs="Times New Roman" w:eastAsia="Times New Roman"/>
                <w:sz w:val="22"/>
              </w:rPr>
              <w:t>1</w:t>
            </w:r>
          </w:p>
        </w:tc>
        <w:tc>
          <w:tcPr>
            <w:tcW w:type="dxa" w:w="2280"/>
          </w:tcPr>
          <w:p>
            <w:pPr>
              <w:jc w:val="center"/>
            </w:pPr>
            <w:r/>
            <w:r>
              <w:rPr>
                <w:rFonts w:ascii="Times New Roman" w:hAnsi="Times New Roman" w:cs="Times New Roman" w:eastAsia="Times New Roman"/>
                <w:sz w:val="22"/>
              </w:rPr>
              <w:t>Chamoli</w:t>
            </w:r>
          </w:p>
        </w:tc>
        <w:tc>
          <w:tcPr>
            <w:tcW w:type="dxa" w:w="2280"/>
          </w:tcPr>
          <w:p>
            <w:pPr>
              <w:jc w:val="center"/>
            </w:pPr>
            <w:r/>
            <w:r>
              <w:rPr>
                <w:rFonts w:ascii="Times New Roman" w:hAnsi="Times New Roman" w:cs="Times New Roman" w:eastAsia="Times New Roman"/>
                <w:sz w:val="22"/>
              </w:rPr>
              <w:t>340</w:t>
            </w:r>
          </w:p>
        </w:tc>
        <w:tc>
          <w:tcPr>
            <w:tcW w:type="dxa" w:w="2280"/>
          </w:tcPr>
          <w:p>
            <w:pPr>
              <w:jc w:val="center"/>
            </w:pPr>
            <w:r/>
            <w:r>
              <w:rPr>
                <w:rFonts w:ascii="Times New Roman" w:hAnsi="Times New Roman" w:cs="Times New Roman" w:eastAsia="Times New Roman"/>
                <w:sz w:val="22"/>
              </w:rPr>
              <w:t>26.2%</w:t>
            </w:r>
          </w:p>
        </w:tc>
      </w:tr>
      <w:tr>
        <w:tc>
          <w:tcPr>
            <w:tcW w:type="dxa" w:w="2280"/>
          </w:tcPr>
          <w:p>
            <w:pPr>
              <w:jc w:val="center"/>
            </w:pPr>
            <w:r/>
            <w:r>
              <w:rPr>
                <w:rFonts w:ascii="Times New Roman" w:hAnsi="Times New Roman" w:cs="Times New Roman" w:eastAsia="Times New Roman"/>
                <w:sz w:val="22"/>
              </w:rPr>
              <w:t>2</w:t>
            </w:r>
          </w:p>
        </w:tc>
        <w:tc>
          <w:tcPr>
            <w:tcW w:type="dxa" w:w="2280"/>
          </w:tcPr>
          <w:p>
            <w:pPr>
              <w:jc w:val="center"/>
            </w:pPr>
            <w:r/>
            <w:r>
              <w:rPr>
                <w:rFonts w:ascii="Times New Roman" w:hAnsi="Times New Roman" w:cs="Times New Roman" w:eastAsia="Times New Roman"/>
                <w:sz w:val="22"/>
              </w:rPr>
              <w:t>Tehri Garhwal</w:t>
            </w:r>
          </w:p>
        </w:tc>
        <w:tc>
          <w:tcPr>
            <w:tcW w:type="dxa" w:w="2280"/>
          </w:tcPr>
          <w:p>
            <w:pPr>
              <w:jc w:val="center"/>
            </w:pPr>
            <w:r/>
            <w:r>
              <w:rPr>
                <w:rFonts w:ascii="Times New Roman" w:hAnsi="Times New Roman" w:cs="Times New Roman" w:eastAsia="Times New Roman"/>
                <w:sz w:val="22"/>
              </w:rPr>
              <w:t>333</w:t>
            </w:r>
          </w:p>
        </w:tc>
        <w:tc>
          <w:tcPr>
            <w:tcW w:type="dxa" w:w="2280"/>
          </w:tcPr>
          <w:p>
            <w:pPr>
              <w:jc w:val="center"/>
            </w:pPr>
            <w:r/>
            <w:r>
              <w:rPr>
                <w:rFonts w:ascii="Times New Roman" w:hAnsi="Times New Roman" w:cs="Times New Roman" w:eastAsia="Times New Roman"/>
                <w:sz w:val="22"/>
              </w:rPr>
              <w:t>25.6%</w:t>
            </w:r>
          </w:p>
        </w:tc>
      </w:tr>
      <w:tr>
        <w:tc>
          <w:tcPr>
            <w:tcW w:type="dxa" w:w="2280"/>
          </w:tcPr>
          <w:p>
            <w:pPr>
              <w:jc w:val="center"/>
            </w:pPr>
            <w:r/>
            <w:r>
              <w:rPr>
                <w:rFonts w:ascii="Times New Roman" w:hAnsi="Times New Roman" w:cs="Times New Roman" w:eastAsia="Times New Roman"/>
                <w:sz w:val="22"/>
              </w:rPr>
              <w:t>3</w:t>
            </w:r>
          </w:p>
        </w:tc>
        <w:tc>
          <w:tcPr>
            <w:tcW w:type="dxa" w:w="2280"/>
          </w:tcPr>
          <w:p>
            <w:pPr>
              <w:jc w:val="center"/>
            </w:pPr>
            <w:r/>
            <w:r>
              <w:rPr>
                <w:rFonts w:ascii="Times New Roman" w:hAnsi="Times New Roman" w:cs="Times New Roman" w:eastAsia="Times New Roman"/>
                <w:sz w:val="22"/>
              </w:rPr>
              <w:t>Rudraprayag</w:t>
            </w:r>
          </w:p>
        </w:tc>
        <w:tc>
          <w:tcPr>
            <w:tcW w:type="dxa" w:w="2280"/>
          </w:tcPr>
          <w:p>
            <w:pPr>
              <w:jc w:val="center"/>
            </w:pPr>
            <w:r/>
            <w:r>
              <w:rPr>
                <w:rFonts w:ascii="Times New Roman" w:hAnsi="Times New Roman" w:cs="Times New Roman" w:eastAsia="Times New Roman"/>
                <w:sz w:val="22"/>
              </w:rPr>
              <w:t>316</w:t>
            </w:r>
          </w:p>
        </w:tc>
        <w:tc>
          <w:tcPr>
            <w:tcW w:type="dxa" w:w="2280"/>
          </w:tcPr>
          <w:p>
            <w:pPr>
              <w:jc w:val="center"/>
            </w:pPr>
            <w:r/>
            <w:r>
              <w:rPr>
                <w:rFonts w:ascii="Times New Roman" w:hAnsi="Times New Roman" w:cs="Times New Roman" w:eastAsia="Times New Roman"/>
                <w:sz w:val="22"/>
              </w:rPr>
              <w:t>24.3%</w:t>
            </w:r>
          </w:p>
        </w:tc>
      </w:tr>
      <w:tr>
        <w:tc>
          <w:tcPr>
            <w:tcW w:type="dxa" w:w="2280"/>
          </w:tcPr>
          <w:p>
            <w:pPr>
              <w:jc w:val="center"/>
            </w:pPr>
            <w:r/>
            <w:r>
              <w:rPr>
                <w:rFonts w:ascii="Times New Roman" w:hAnsi="Times New Roman" w:cs="Times New Roman" w:eastAsia="Times New Roman"/>
                <w:sz w:val="22"/>
              </w:rPr>
              <w:t>4</w:t>
            </w:r>
          </w:p>
        </w:tc>
        <w:tc>
          <w:tcPr>
            <w:tcW w:type="dxa" w:w="2280"/>
          </w:tcPr>
          <w:p>
            <w:pPr>
              <w:jc w:val="center"/>
            </w:pPr>
            <w:r/>
            <w:r>
              <w:rPr>
                <w:rFonts w:ascii="Times New Roman" w:hAnsi="Times New Roman" w:cs="Times New Roman" w:eastAsia="Times New Roman"/>
                <w:sz w:val="22"/>
              </w:rPr>
              <w:t>Pauri Garhwal</w:t>
            </w:r>
          </w:p>
        </w:tc>
        <w:tc>
          <w:tcPr>
            <w:tcW w:type="dxa" w:w="2280"/>
          </w:tcPr>
          <w:p>
            <w:pPr>
              <w:jc w:val="center"/>
            </w:pPr>
            <w:r/>
            <w:r>
              <w:rPr>
                <w:rFonts w:ascii="Times New Roman" w:hAnsi="Times New Roman" w:cs="Times New Roman" w:eastAsia="Times New Roman"/>
                <w:sz w:val="22"/>
              </w:rPr>
              <w:t>311</w:t>
            </w:r>
          </w:p>
        </w:tc>
        <w:tc>
          <w:tcPr>
            <w:tcW w:type="dxa" w:w="2280"/>
          </w:tcPr>
          <w:p>
            <w:pPr>
              <w:jc w:val="center"/>
            </w:pPr>
            <w:r/>
            <w:r>
              <w:rPr>
                <w:rFonts w:ascii="Times New Roman" w:hAnsi="Times New Roman" w:cs="Times New Roman" w:eastAsia="Times New Roman"/>
                <w:sz w:val="22"/>
              </w:rPr>
              <w:t>23.9%</w:t>
            </w:r>
          </w:p>
        </w:tc>
      </w:tr>
      <w:tr>
        <w:tc>
          <w:tcPr>
            <w:tcW w:type="dxa" w:w="2280"/>
          </w:tcPr>
          <w:p>
            <w:pPr>
              <w:jc w:val="center"/>
            </w:pPr>
            <w:r/>
            <w:r>
              <w:rPr>
                <w:rFonts w:ascii="Times New Roman" w:hAnsi="Times New Roman" w:cs="Times New Roman" w:eastAsia="Times New Roman"/>
                <w:sz w:val="22"/>
              </w:rPr>
            </w:r>
          </w:p>
        </w:tc>
        <w:tc>
          <w:tcPr>
            <w:tcW w:type="dxa" w:w="2280"/>
          </w:tcPr>
          <w:p>
            <w:pPr>
              <w:jc w:val="center"/>
            </w:pPr>
            <w:r/>
            <w:r>
              <w:rPr>
                <w:rFonts w:ascii="Times New Roman" w:hAnsi="Times New Roman" w:cs="Times New Roman" w:eastAsia="Times New Roman"/>
                <w:sz w:val="22"/>
              </w:rPr>
              <w:t>Total</w:t>
            </w:r>
          </w:p>
        </w:tc>
        <w:tc>
          <w:tcPr>
            <w:tcW w:type="dxa" w:w="2280"/>
          </w:tcPr>
          <w:p>
            <w:pPr>
              <w:jc w:val="center"/>
            </w:pPr>
            <w:r/>
            <w:r>
              <w:rPr>
                <w:rFonts w:ascii="Times New Roman" w:hAnsi="Times New Roman" w:cs="Times New Roman" w:eastAsia="Times New Roman"/>
                <w:sz w:val="22"/>
              </w:rPr>
              <w:t>1,300</w:t>
            </w:r>
          </w:p>
        </w:tc>
        <w:tc>
          <w:tcPr>
            <w:tcW w:type="dxa" w:w="2280"/>
          </w:tcPr>
          <w:p>
            <w:pPr>
              <w:jc w:val="center"/>
            </w:pPr>
            <w:r/>
            <w:r>
              <w:rPr>
                <w:rFonts w:ascii="Times New Roman" w:hAnsi="Times New Roman" w:cs="Times New Roman" w:eastAsia="Times New Roman"/>
                <w:sz w:val="22"/>
              </w:rPr>
              <w:t>100.0%</w:t>
            </w:r>
          </w:p>
        </w:tc>
      </w:tr>
    </w:tbl>
    <w:p/>
    <w:p>
      <w:pPr>
        <w:keepNext/>
        <w:spacing w:before="280" w:after="160"/>
      </w:pPr>
      <w:r>
        <w:rPr>
          <w:rFonts w:ascii="Times New Roman" w:hAnsi="Times New Roman" w:cs="Times New Roman" w:eastAsia="Times New Roman"/>
          <w:b/>
          <w:sz w:val="28"/>
        </w:rPr>
        <w:t>3.4  Justification of the Sample Size for MCDM Methods</w:t>
      </w:r>
    </w:p>
    <w:p>
      <w:pPr>
        <w:spacing w:after="120" w:line="360" w:lineRule="auto"/>
        <w:jc w:val="both"/>
      </w:pPr>
      <w:r>
        <w:rPr>
          <w:rFonts w:ascii="Times New Roman" w:hAnsi="Times New Roman" w:cs="Times New Roman" w:eastAsia="Times New Roman"/>
          <w:b w:val="0"/>
          <w:i w:val="0"/>
          <w:sz w:val="24"/>
        </w:rPr>
        <w:t>Multi-Criteria Decision Making methods such as Fuzzy AHP and ELECTRE are traditionally applied with small expert panels of five to thirty decision makers. Saaty (1980, 2008), the originator of AHP, recommended that pairwise comparisons be elicited from a small group of knowledgeable experts and aggregated using the geometric mean. Subsequent methodological work, however, has shown that when MCDM is applied not as a pure expert exercise but as an empirical aggregation of preferences from heterogeneous stakeholders along a real supply chain, larger samples markedly improve the stability and the external validity of the derived weights and rankings (Forman and Peniwati, 1998; Dong et al., 2010; Aguarón and Moreno-Jiménez, 2003).</w:t>
      </w:r>
    </w:p>
    <w:p>
      <w:pPr>
        <w:spacing w:after="120" w:line="360" w:lineRule="auto"/>
        <w:jc w:val="both"/>
      </w:pPr>
      <w:r>
        <w:rPr>
          <w:rFonts w:ascii="Times New Roman" w:hAnsi="Times New Roman" w:cs="Times New Roman" w:eastAsia="Times New Roman"/>
          <w:b w:val="0"/>
          <w:i w:val="0"/>
          <w:sz w:val="24"/>
        </w:rPr>
        <w:t>The sample size of 1,300 used in this study is justified on the following grounds, each grounded in the MCDM literature.</w:t>
      </w:r>
    </w:p>
    <w:p>
      <w:pPr>
        <w:keepNext/>
        <w:spacing w:before="160" w:after="80"/>
      </w:pPr>
      <w:r>
        <w:rPr>
          <w:rFonts w:ascii="Times New Roman" w:hAnsi="Times New Roman" w:cs="Times New Roman" w:eastAsia="Times New Roman"/>
          <w:i/>
          <w:sz w:val="24"/>
        </w:rPr>
        <w:t>3.4.1  Aggregation Stability</w:t>
      </w:r>
    </w:p>
    <w:p>
      <w:pPr>
        <w:spacing w:after="120" w:line="360" w:lineRule="auto"/>
        <w:jc w:val="both"/>
      </w:pPr>
      <w:r>
        <w:rPr>
          <w:rFonts w:ascii="Times New Roman" w:hAnsi="Times New Roman" w:cs="Times New Roman" w:eastAsia="Times New Roman"/>
          <w:b w:val="0"/>
          <w:i w:val="0"/>
          <w:sz w:val="24"/>
        </w:rPr>
        <w:t>When pairwise comparisons are aggregated across respondents using the geometric mean (the standard aggregation operator in AHP and Fuzzy AHP), the resulting aggregate matrix converges to a stable mean as the number of respondents grows (Forman and Peniwati, 1998). Empirical studies have shown that beyond approximately thirty respondents per stakeholder group the marginal change in aggregated weights becomes negligible. The smallest stakeholder group in the present study (Experts / Officials) has 65 respondents and the largest (Farmers) has 650; aggregation stability is therefore comfortably ensured for every group.</w:t>
      </w:r>
    </w:p>
    <w:p>
      <w:pPr>
        <w:keepNext/>
        <w:spacing w:before="160" w:after="80"/>
      </w:pPr>
      <w:r>
        <w:rPr>
          <w:rFonts w:ascii="Times New Roman" w:hAnsi="Times New Roman" w:cs="Times New Roman" w:eastAsia="Times New Roman"/>
          <w:i/>
          <w:sz w:val="24"/>
        </w:rPr>
        <w:t>3.4.2  Statistical Adequacy</w:t>
      </w:r>
    </w:p>
    <w:p>
      <w:pPr>
        <w:spacing w:after="120" w:line="360" w:lineRule="auto"/>
        <w:jc w:val="both"/>
      </w:pPr>
      <w:r>
        <w:rPr>
          <w:rFonts w:ascii="Times New Roman" w:hAnsi="Times New Roman" w:cs="Times New Roman" w:eastAsia="Times New Roman"/>
          <w:b w:val="0"/>
          <w:i w:val="0"/>
          <w:sz w:val="24"/>
        </w:rPr>
        <w:t>Although MCDM methods do not impose a parametric sample-size requirement of their own, the demographic and channel-rating components of the questionnaire are best treated as a population estimation problem. Cochran's (1977) formula for an infinite population at a 95 per cent confidence level and a 5 per cent margin of error gives a minimum sample of 384. The sample of 1,300 used in this study exceeds this minimum by a factor of more than three and brings the margin of error down to approximately 2.7 per cent at the 95 per cent confidence level.</w:t>
      </w:r>
    </w:p>
    <w:p>
      <w:pPr>
        <w:keepNext/>
        <w:spacing w:before="160" w:after="80"/>
      </w:pPr>
      <w:r>
        <w:rPr>
          <w:rFonts w:ascii="Times New Roman" w:hAnsi="Times New Roman" w:cs="Times New Roman" w:eastAsia="Times New Roman"/>
          <w:i/>
          <w:sz w:val="24"/>
        </w:rPr>
        <w:t>3.4.3  Stakeholder Representativeness</w:t>
      </w:r>
    </w:p>
    <w:p>
      <w:pPr>
        <w:spacing w:after="120" w:line="360" w:lineRule="auto"/>
        <w:jc w:val="both"/>
      </w:pPr>
      <w:r>
        <w:rPr>
          <w:rFonts w:ascii="Times New Roman" w:hAnsi="Times New Roman" w:cs="Times New Roman" w:eastAsia="Times New Roman"/>
          <w:b w:val="0"/>
          <w:i w:val="0"/>
          <w:sz w:val="24"/>
        </w:rPr>
        <w:t>The Malta distribution channel involves seven heterogeneous stakeholder groups, and a credible MCDM application must treat each group as a distinct sub-sample so that group-specific weight vectors can be aggregated into a channel-level weight vector (Dong et al., 2010). The achieved sample provides 65 to 650 respondents per group, which (i) keeps every group above the 30-respondent stability threshold and (ii) preserves the relative weight of each group in the channel.</w:t>
      </w:r>
    </w:p>
    <w:p>
      <w:pPr>
        <w:keepNext/>
        <w:spacing w:before="160" w:after="80"/>
      </w:pPr>
      <w:r>
        <w:rPr>
          <w:rFonts w:ascii="Times New Roman" w:hAnsi="Times New Roman" w:cs="Times New Roman" w:eastAsia="Times New Roman"/>
          <w:i/>
          <w:sz w:val="24"/>
        </w:rPr>
        <w:t>3.4.4  Geographical Coverage</w:t>
      </w:r>
    </w:p>
    <w:p>
      <w:pPr>
        <w:spacing w:after="120" w:line="360" w:lineRule="auto"/>
        <w:jc w:val="both"/>
      </w:pPr>
      <w:r>
        <w:rPr>
          <w:rFonts w:ascii="Times New Roman" w:hAnsi="Times New Roman" w:cs="Times New Roman" w:eastAsia="Times New Roman"/>
          <w:b w:val="0"/>
          <w:i w:val="0"/>
          <w:sz w:val="24"/>
        </w:rPr>
        <w:t>The four Garhwal districts together account for the dominant share of Malta cultivation in Uttarakhand, and the achieved district-wise distribution is balanced (between 23.9 per cent and 26.2 per cent of the sample per district). This balance avoids the geographical-bias problem that frequently affects single-district MCDM studies.</w:t>
      </w:r>
    </w:p>
    <w:p>
      <w:pPr>
        <w:keepNext/>
        <w:spacing w:before="160" w:after="80"/>
      </w:pPr>
      <w:r>
        <w:rPr>
          <w:rFonts w:ascii="Times New Roman" w:hAnsi="Times New Roman" w:cs="Times New Roman" w:eastAsia="Times New Roman"/>
          <w:i/>
          <w:sz w:val="24"/>
        </w:rPr>
        <w:t>3.4.5  Robustness for ELECTRE Outranking</w:t>
      </w:r>
    </w:p>
    <w:p>
      <w:pPr>
        <w:spacing w:after="120" w:line="360" w:lineRule="auto"/>
        <w:jc w:val="both"/>
      </w:pPr>
      <w:r>
        <w:rPr>
          <w:rFonts w:ascii="Times New Roman" w:hAnsi="Times New Roman" w:cs="Times New Roman" w:eastAsia="Times New Roman"/>
          <w:b w:val="0"/>
          <w:i w:val="0"/>
          <w:sz w:val="24"/>
        </w:rPr>
        <w:t>ELECTRE is an outranking method whose concordance and discordance indices are computed from the decision matrix of alternatives and criteria. The performance scores in the decision matrix are themselves the sample means of stakeholder ratings on each criterion. A larger sample reduces the standard error of these means and therefore reduces the sensitivity of the concordance and discordance thresholds to individual outlier ratings (Roy and Bouyssou, 1993; Figueira et al., 2005). The sample of 1,300 produces standard errors of the order of 0.03 on a five-point scale, which is well below the differences between alternatives and is therefore sufficient for a robust outranking.</w:t>
      </w:r>
    </w:p>
    <w:p>
      <w:pPr>
        <w:keepNext/>
        <w:spacing w:before="280" w:after="160"/>
      </w:pPr>
      <w:r>
        <w:rPr>
          <w:rFonts w:ascii="Times New Roman" w:hAnsi="Times New Roman" w:cs="Times New Roman" w:eastAsia="Times New Roman"/>
          <w:b/>
          <w:sz w:val="28"/>
        </w:rPr>
        <w:t>3.5  Data Collection Instrument</w:t>
      </w:r>
    </w:p>
    <w:p>
      <w:pPr>
        <w:spacing w:after="120" w:line="360" w:lineRule="auto"/>
        <w:jc w:val="both"/>
      </w:pPr>
      <w:r>
        <w:rPr>
          <w:rFonts w:ascii="Times New Roman" w:hAnsi="Times New Roman" w:cs="Times New Roman" w:eastAsia="Times New Roman"/>
          <w:b w:val="0"/>
          <w:i w:val="0"/>
          <w:sz w:val="24"/>
        </w:rPr>
        <w:t>A structured questionnaire was used to collect data. Section A captured the respondent profile (district, age group, education, experience and stakeholder category). Section B contained the pairwise comparison block in which respondents compared every pair of decision criteria using a nine-point linguistic scale. Section C contained a rating block in which respondents rated each alternative distribution channel against every criterion on a five-point scale. The instrument was pre-tested with a small panel of stakeholders and refined for clarity before fieldwork.</w:t>
      </w:r>
    </w:p>
    <w:p>
      <w:pPr>
        <w:keepNext/>
        <w:spacing w:before="280" w:after="160"/>
      </w:pPr>
      <w:r>
        <w:rPr>
          <w:rFonts w:ascii="Times New Roman" w:hAnsi="Times New Roman" w:cs="Times New Roman" w:eastAsia="Times New Roman"/>
          <w:b/>
          <w:sz w:val="28"/>
        </w:rPr>
        <w:t>3.6  Tools of Analysis</w:t>
      </w:r>
    </w:p>
    <w:p>
      <w:pPr>
        <w:spacing w:after="120" w:line="360" w:lineRule="auto"/>
        <w:jc w:val="both"/>
      </w:pPr>
      <w:r>
        <w:rPr>
          <w:rFonts w:ascii="Times New Roman" w:hAnsi="Times New Roman" w:cs="Times New Roman" w:eastAsia="Times New Roman"/>
          <w:b w:val="0"/>
          <w:i w:val="0"/>
          <w:sz w:val="24"/>
        </w:rPr>
        <w:t>Only two analytical tools have been used in this study: Fuzzy AHP and ELECTRE. Fuzzy AHP is used to derive the relative importance (weights) of the decision criteria. ELECTRE is then used, with the Fuzzy AHP weights as input, to outrank the alternative distribution channels. The two tools are integrated in a two-stage architecture in which the output of Fuzzy AHP becomes an input to ELECTRE; this hybrid configuration is widely used in the supply-chain MCDM literature because it combines the weight-elicitation strength of Fuzzy AHP with the outranking strength of ELECTRE (Sevkli, 2010; Kabir and Sumi, 2014).</w:t>
      </w:r>
    </w:p>
    <w:p>
      <w:pPr>
        <w:keepNext/>
        <w:spacing w:before="160" w:after="80"/>
      </w:pPr>
      <w:r>
        <w:rPr>
          <w:rFonts w:ascii="Times New Roman" w:hAnsi="Times New Roman" w:cs="Times New Roman" w:eastAsia="Times New Roman"/>
          <w:i/>
          <w:sz w:val="24"/>
        </w:rPr>
        <w:t>3.6.1  Fuzzy Analytic Hierarchy Process (Fuzzy AHP)</w:t>
      </w:r>
    </w:p>
    <w:p>
      <w:pPr>
        <w:spacing w:after="120" w:line="360" w:lineRule="auto"/>
        <w:jc w:val="both"/>
      </w:pPr>
      <w:r>
        <w:rPr>
          <w:rFonts w:ascii="Times New Roman" w:hAnsi="Times New Roman" w:cs="Times New Roman" w:eastAsia="Times New Roman"/>
          <w:b w:val="0"/>
          <w:i w:val="0"/>
          <w:sz w:val="24"/>
        </w:rPr>
        <w:t>Fuzzy AHP is an extension of Saaty's classical AHP (Saaty, 1980) in which crisp pairwise comparisons are replaced by Triangular Fuzzy Numbers (TFNs) of the form (l, m, u). The use of TFNs captures the linguistic vagueness inherent in human judgement and is particularly appropriate for stakeholder respondents whose expertise is experiential rather than numerical. The method adopted in this study follows the extent-analysis approach of Chang (1996), which is the most widely applied Fuzzy AHP procedure.</w:t>
      </w:r>
    </w:p>
    <w:p>
      <w:pPr>
        <w:spacing w:after="120" w:line="360" w:lineRule="auto"/>
        <w:jc w:val="both"/>
      </w:pPr>
      <w:r>
        <w:rPr>
          <w:rFonts w:ascii="Times New Roman" w:hAnsi="Times New Roman" w:cs="Times New Roman" w:eastAsia="Times New Roman"/>
          <w:b w:val="0"/>
          <w:i w:val="0"/>
          <w:sz w:val="24"/>
        </w:rPr>
        <w:t>The procedural steps of Fuzzy AHP are as follows:</w:t>
      </w:r>
    </w:p>
    <w:p>
      <w:pPr>
        <w:pStyle w:val="ListBullet"/>
        <w:spacing w:after="40"/>
      </w:pPr>
      <w:r/>
      <w:r>
        <w:rPr>
          <w:rFonts w:ascii="Times New Roman" w:hAnsi="Times New Roman" w:cs="Times New Roman" w:eastAsia="Times New Roman"/>
          <w:sz w:val="24"/>
        </w:rPr>
        <w:t>Step 1 — Construct the hierarchy. The decision goal ("selection of the optimal Malta distribution channel") is placed at the top, followed by the criteria, the sub-criteria and the channel alternatives.</w:t>
      </w:r>
    </w:p>
    <w:p>
      <w:pPr>
        <w:pStyle w:val="ListBullet"/>
        <w:spacing w:after="40"/>
      </w:pPr>
      <w:r/>
      <w:r>
        <w:rPr>
          <w:rFonts w:ascii="Times New Roman" w:hAnsi="Times New Roman" w:cs="Times New Roman" w:eastAsia="Times New Roman"/>
          <w:sz w:val="24"/>
        </w:rPr>
        <w:t>Step 2 — Elicit pairwise comparisons from respondents using the linguistic scale shown in Table 3.3.</w:t>
      </w:r>
    </w:p>
    <w:p>
      <w:pPr>
        <w:pStyle w:val="ListBullet"/>
        <w:spacing w:after="40"/>
      </w:pPr>
      <w:r/>
      <w:r>
        <w:rPr>
          <w:rFonts w:ascii="Times New Roman" w:hAnsi="Times New Roman" w:cs="Times New Roman" w:eastAsia="Times New Roman"/>
          <w:sz w:val="24"/>
        </w:rPr>
        <w:t>Step 3 — Convert each linguistic judgement to its corresponding Triangular Fuzzy Number (l, m, u).</w:t>
      </w:r>
    </w:p>
    <w:p>
      <w:pPr>
        <w:pStyle w:val="ListBullet"/>
        <w:spacing w:after="40"/>
      </w:pPr>
      <w:r/>
      <w:r>
        <w:rPr>
          <w:rFonts w:ascii="Times New Roman" w:hAnsi="Times New Roman" w:cs="Times New Roman" w:eastAsia="Times New Roman"/>
          <w:sz w:val="24"/>
        </w:rPr>
        <w:t>Step 4 — Aggregate the responses across respondents using the fuzzy geometric mean to obtain a single pairwise-comparison matrix per stakeholder group.</w:t>
      </w:r>
    </w:p>
    <w:p>
      <w:pPr>
        <w:pStyle w:val="ListBullet"/>
        <w:spacing w:after="40"/>
      </w:pPr>
      <w:r/>
      <w:r>
        <w:rPr>
          <w:rFonts w:ascii="Times New Roman" w:hAnsi="Times New Roman" w:cs="Times New Roman" w:eastAsia="Times New Roman"/>
          <w:sz w:val="24"/>
        </w:rPr>
        <w:t>Step 5 — Compute the fuzzy synthetic extent value Si for each criterion as Si = Σ(j) M(g, ij) ⊗ [Σ(i) Σ(j) M(g, ij)]^(-1).</w:t>
      </w:r>
    </w:p>
    <w:p>
      <w:pPr>
        <w:pStyle w:val="ListBullet"/>
        <w:spacing w:after="40"/>
      </w:pPr>
      <w:r/>
      <w:r>
        <w:rPr>
          <w:rFonts w:ascii="Times New Roman" w:hAnsi="Times New Roman" w:cs="Times New Roman" w:eastAsia="Times New Roman"/>
          <w:sz w:val="24"/>
        </w:rPr>
        <w:t>Step 6 — Compute the degree of possibility V(M2 ≥ M1) for every pair of fuzzy synthetic extents and derive the non-normalised priority vector W'.</w:t>
      </w:r>
    </w:p>
    <w:p>
      <w:pPr>
        <w:pStyle w:val="ListBullet"/>
        <w:spacing w:after="40"/>
      </w:pPr>
      <w:r/>
      <w:r>
        <w:rPr>
          <w:rFonts w:ascii="Times New Roman" w:hAnsi="Times New Roman" w:cs="Times New Roman" w:eastAsia="Times New Roman"/>
          <w:sz w:val="24"/>
        </w:rPr>
        <w:t>Step 7 — Defuzzify each TFN using the Centre of Area (CoA) method, normalise the resulting vector and obtain the final criterion weights wj such that Σ wj = 1.</w:t>
      </w:r>
    </w:p>
    <w:p>
      <w:pPr>
        <w:pStyle w:val="ListBullet"/>
        <w:spacing w:after="40"/>
      </w:pPr>
      <w:r/>
      <w:r>
        <w:rPr>
          <w:rFonts w:ascii="Times New Roman" w:hAnsi="Times New Roman" w:cs="Times New Roman" w:eastAsia="Times New Roman"/>
          <w:sz w:val="24"/>
        </w:rPr>
        <w:t>Step 8 — Compute the Consistency Ratio (CR). A pairwise-comparison matrix is accepted only if CR &lt; 0.10 (Saaty, 1980).</w:t>
      </w:r>
    </w:p>
    <w:p>
      <w:pPr>
        <w:spacing w:before="160" w:after="80"/>
        <w:jc w:val="center"/>
      </w:pPr>
      <w:r>
        <w:rPr>
          <w:rFonts w:ascii="Times New Roman" w:hAnsi="Times New Roman" w:cs="Times New Roman" w:eastAsia="Times New Roman"/>
          <w:b/>
          <w:sz w:val="22"/>
        </w:rPr>
        <w:t>Table 3.3: Linguistic Scale and Triangular Fuzzy Numbers used in Fuzzy AHP</w:t>
      </w:r>
    </w:p>
    <w:tbl>
      <w:tblPr>
        <w:tblStyle w:val="LightGrid-Accent1"/>
        <w:tblW w:type="auto" w:w="0"/>
        <w:tblLook w:firstColumn="1" w:firstRow="1" w:lastColumn="0" w:lastRow="0" w:noHBand="0" w:noVBand="1" w:val="04A0"/>
      </w:tblPr>
      <w:tblGrid>
        <w:gridCol w:w="2280"/>
        <w:gridCol w:w="2280"/>
        <w:gridCol w:w="2280"/>
        <w:gridCol w:w="2280"/>
      </w:tblGrid>
      <w:tr>
        <w:tc>
          <w:tcPr>
            <w:tcW w:type="dxa" w:w="2280"/>
            <w:shd w:val="clear" w:color="auto" w:fill="D9E1F2"/>
          </w:tcPr>
          <w:p>
            <w:pPr>
              <w:jc w:val="center"/>
            </w:pPr>
            <w:r/>
            <w:r>
              <w:rPr>
                <w:rFonts w:ascii="Times New Roman" w:hAnsi="Times New Roman" w:cs="Times New Roman" w:eastAsia="Times New Roman"/>
                <w:b/>
                <w:sz w:val="22"/>
              </w:rPr>
              <w:t>Linguistic Term</w:t>
            </w:r>
          </w:p>
        </w:tc>
        <w:tc>
          <w:tcPr>
            <w:tcW w:type="dxa" w:w="2280"/>
            <w:shd w:val="clear" w:color="auto" w:fill="D9E1F2"/>
          </w:tcPr>
          <w:p>
            <w:pPr>
              <w:jc w:val="center"/>
            </w:pPr>
            <w:r/>
            <w:r>
              <w:rPr>
                <w:rFonts w:ascii="Times New Roman" w:hAnsi="Times New Roman" w:cs="Times New Roman" w:eastAsia="Times New Roman"/>
                <w:b/>
                <w:sz w:val="22"/>
              </w:rPr>
              <w:t>Saaty Scale</w:t>
            </w:r>
          </w:p>
        </w:tc>
        <w:tc>
          <w:tcPr>
            <w:tcW w:type="dxa" w:w="2280"/>
            <w:shd w:val="clear" w:color="auto" w:fill="D9E1F2"/>
          </w:tcPr>
          <w:p>
            <w:pPr>
              <w:jc w:val="center"/>
            </w:pPr>
            <w:r/>
            <w:r>
              <w:rPr>
                <w:rFonts w:ascii="Times New Roman" w:hAnsi="Times New Roman" w:cs="Times New Roman" w:eastAsia="Times New Roman"/>
                <w:b/>
                <w:sz w:val="22"/>
              </w:rPr>
              <w:t>Triangular Fuzzy Number (l, m, u)</w:t>
            </w:r>
          </w:p>
        </w:tc>
        <w:tc>
          <w:tcPr>
            <w:tcW w:type="dxa" w:w="2280"/>
            <w:shd w:val="clear" w:color="auto" w:fill="D9E1F2"/>
          </w:tcPr>
          <w:p>
            <w:pPr>
              <w:jc w:val="center"/>
            </w:pPr>
            <w:r/>
            <w:r>
              <w:rPr>
                <w:rFonts w:ascii="Times New Roman" w:hAnsi="Times New Roman" w:cs="Times New Roman" w:eastAsia="Times New Roman"/>
                <w:b/>
                <w:sz w:val="22"/>
              </w:rPr>
              <w:t>Reciprocal TFN</w:t>
            </w:r>
          </w:p>
        </w:tc>
      </w:tr>
      <w:tr>
        <w:tc>
          <w:tcPr>
            <w:tcW w:type="dxa" w:w="2280"/>
          </w:tcPr>
          <w:p>
            <w:pPr>
              <w:jc w:val="center"/>
            </w:pPr>
            <w:r/>
            <w:r>
              <w:rPr>
                <w:rFonts w:ascii="Times New Roman" w:hAnsi="Times New Roman" w:cs="Times New Roman" w:eastAsia="Times New Roman"/>
                <w:sz w:val="22"/>
              </w:rPr>
              <w:t>Equally important</w:t>
            </w:r>
          </w:p>
        </w:tc>
        <w:tc>
          <w:tcPr>
            <w:tcW w:type="dxa" w:w="2280"/>
          </w:tcPr>
          <w:p>
            <w:pPr>
              <w:jc w:val="center"/>
            </w:pPr>
            <w:r/>
            <w:r>
              <w:rPr>
                <w:rFonts w:ascii="Times New Roman" w:hAnsi="Times New Roman" w:cs="Times New Roman" w:eastAsia="Times New Roman"/>
                <w:sz w:val="22"/>
              </w:rPr>
              <w:t>1</w:t>
            </w:r>
          </w:p>
        </w:tc>
        <w:tc>
          <w:tcPr>
            <w:tcW w:type="dxa" w:w="2280"/>
          </w:tcPr>
          <w:p>
            <w:pPr>
              <w:jc w:val="center"/>
            </w:pPr>
            <w:r/>
            <w:r>
              <w:rPr>
                <w:rFonts w:ascii="Times New Roman" w:hAnsi="Times New Roman" w:cs="Times New Roman" w:eastAsia="Times New Roman"/>
                <w:sz w:val="22"/>
              </w:rPr>
              <w:t>(1, 1, 1)</w:t>
            </w:r>
          </w:p>
        </w:tc>
        <w:tc>
          <w:tcPr>
            <w:tcW w:type="dxa" w:w="2280"/>
          </w:tcPr>
          <w:p>
            <w:pPr>
              <w:jc w:val="center"/>
            </w:pPr>
            <w:r/>
            <w:r>
              <w:rPr>
                <w:rFonts w:ascii="Times New Roman" w:hAnsi="Times New Roman" w:cs="Times New Roman" w:eastAsia="Times New Roman"/>
                <w:sz w:val="22"/>
              </w:rPr>
              <w:t>(1, 1, 1)</w:t>
            </w:r>
          </w:p>
        </w:tc>
      </w:tr>
      <w:tr>
        <w:tc>
          <w:tcPr>
            <w:tcW w:type="dxa" w:w="2280"/>
          </w:tcPr>
          <w:p>
            <w:pPr>
              <w:jc w:val="center"/>
            </w:pPr>
            <w:r/>
            <w:r>
              <w:rPr>
                <w:rFonts w:ascii="Times New Roman" w:hAnsi="Times New Roman" w:cs="Times New Roman" w:eastAsia="Times New Roman"/>
                <w:sz w:val="22"/>
              </w:rPr>
              <w:t>Weakly more important</w:t>
            </w:r>
          </w:p>
        </w:tc>
        <w:tc>
          <w:tcPr>
            <w:tcW w:type="dxa" w:w="2280"/>
          </w:tcPr>
          <w:p>
            <w:pPr>
              <w:jc w:val="center"/>
            </w:pPr>
            <w:r/>
            <w:r>
              <w:rPr>
                <w:rFonts w:ascii="Times New Roman" w:hAnsi="Times New Roman" w:cs="Times New Roman" w:eastAsia="Times New Roman"/>
                <w:sz w:val="22"/>
              </w:rPr>
              <w:t>3</w:t>
            </w:r>
          </w:p>
        </w:tc>
        <w:tc>
          <w:tcPr>
            <w:tcW w:type="dxa" w:w="2280"/>
          </w:tcPr>
          <w:p>
            <w:pPr>
              <w:jc w:val="center"/>
            </w:pPr>
            <w:r/>
            <w:r>
              <w:rPr>
                <w:rFonts w:ascii="Times New Roman" w:hAnsi="Times New Roman" w:cs="Times New Roman" w:eastAsia="Times New Roman"/>
                <w:sz w:val="22"/>
              </w:rPr>
              <w:t>(1, 3, 5)</w:t>
            </w:r>
          </w:p>
        </w:tc>
        <w:tc>
          <w:tcPr>
            <w:tcW w:type="dxa" w:w="2280"/>
          </w:tcPr>
          <w:p>
            <w:pPr>
              <w:jc w:val="center"/>
            </w:pPr>
            <w:r/>
            <w:r>
              <w:rPr>
                <w:rFonts w:ascii="Times New Roman" w:hAnsi="Times New Roman" w:cs="Times New Roman" w:eastAsia="Times New Roman"/>
                <w:sz w:val="22"/>
              </w:rPr>
              <w:t>(1/5, 1/3, 1)</w:t>
            </w:r>
          </w:p>
        </w:tc>
      </w:tr>
      <w:tr>
        <w:tc>
          <w:tcPr>
            <w:tcW w:type="dxa" w:w="2280"/>
          </w:tcPr>
          <w:p>
            <w:pPr>
              <w:jc w:val="center"/>
            </w:pPr>
            <w:r/>
            <w:r>
              <w:rPr>
                <w:rFonts w:ascii="Times New Roman" w:hAnsi="Times New Roman" w:cs="Times New Roman" w:eastAsia="Times New Roman"/>
                <w:sz w:val="22"/>
              </w:rPr>
              <w:t>Strongly more important</w:t>
            </w:r>
          </w:p>
        </w:tc>
        <w:tc>
          <w:tcPr>
            <w:tcW w:type="dxa" w:w="2280"/>
          </w:tcPr>
          <w:p>
            <w:pPr>
              <w:jc w:val="center"/>
            </w:pPr>
            <w:r/>
            <w:r>
              <w:rPr>
                <w:rFonts w:ascii="Times New Roman" w:hAnsi="Times New Roman" w:cs="Times New Roman" w:eastAsia="Times New Roman"/>
                <w:sz w:val="22"/>
              </w:rPr>
              <w:t>5</w:t>
            </w:r>
          </w:p>
        </w:tc>
        <w:tc>
          <w:tcPr>
            <w:tcW w:type="dxa" w:w="2280"/>
          </w:tcPr>
          <w:p>
            <w:pPr>
              <w:jc w:val="center"/>
            </w:pPr>
            <w:r/>
            <w:r>
              <w:rPr>
                <w:rFonts w:ascii="Times New Roman" w:hAnsi="Times New Roman" w:cs="Times New Roman" w:eastAsia="Times New Roman"/>
                <w:sz w:val="22"/>
              </w:rPr>
              <w:t>(3, 5, 7)</w:t>
            </w:r>
          </w:p>
        </w:tc>
        <w:tc>
          <w:tcPr>
            <w:tcW w:type="dxa" w:w="2280"/>
          </w:tcPr>
          <w:p>
            <w:pPr>
              <w:jc w:val="center"/>
            </w:pPr>
            <w:r/>
            <w:r>
              <w:rPr>
                <w:rFonts w:ascii="Times New Roman" w:hAnsi="Times New Roman" w:cs="Times New Roman" w:eastAsia="Times New Roman"/>
                <w:sz w:val="22"/>
              </w:rPr>
              <w:t>(1/7, 1/5, 1/3)</w:t>
            </w:r>
          </w:p>
        </w:tc>
      </w:tr>
      <w:tr>
        <w:tc>
          <w:tcPr>
            <w:tcW w:type="dxa" w:w="2280"/>
          </w:tcPr>
          <w:p>
            <w:pPr>
              <w:jc w:val="center"/>
            </w:pPr>
            <w:r/>
            <w:r>
              <w:rPr>
                <w:rFonts w:ascii="Times New Roman" w:hAnsi="Times New Roman" w:cs="Times New Roman" w:eastAsia="Times New Roman"/>
                <w:sz w:val="22"/>
              </w:rPr>
              <w:t>Very strongly more important</w:t>
            </w:r>
          </w:p>
        </w:tc>
        <w:tc>
          <w:tcPr>
            <w:tcW w:type="dxa" w:w="2280"/>
          </w:tcPr>
          <w:p>
            <w:pPr>
              <w:jc w:val="center"/>
            </w:pPr>
            <w:r/>
            <w:r>
              <w:rPr>
                <w:rFonts w:ascii="Times New Roman" w:hAnsi="Times New Roman" w:cs="Times New Roman" w:eastAsia="Times New Roman"/>
                <w:sz w:val="22"/>
              </w:rPr>
              <w:t>7</w:t>
            </w:r>
          </w:p>
        </w:tc>
        <w:tc>
          <w:tcPr>
            <w:tcW w:type="dxa" w:w="2280"/>
          </w:tcPr>
          <w:p>
            <w:pPr>
              <w:jc w:val="center"/>
            </w:pPr>
            <w:r/>
            <w:r>
              <w:rPr>
                <w:rFonts w:ascii="Times New Roman" w:hAnsi="Times New Roman" w:cs="Times New Roman" w:eastAsia="Times New Roman"/>
                <w:sz w:val="22"/>
              </w:rPr>
              <w:t>(5, 7, 9)</w:t>
            </w:r>
          </w:p>
        </w:tc>
        <w:tc>
          <w:tcPr>
            <w:tcW w:type="dxa" w:w="2280"/>
          </w:tcPr>
          <w:p>
            <w:pPr>
              <w:jc w:val="center"/>
            </w:pPr>
            <w:r/>
            <w:r>
              <w:rPr>
                <w:rFonts w:ascii="Times New Roman" w:hAnsi="Times New Roman" w:cs="Times New Roman" w:eastAsia="Times New Roman"/>
                <w:sz w:val="22"/>
              </w:rPr>
              <w:t>(1/9, 1/7, 1/5)</w:t>
            </w:r>
          </w:p>
        </w:tc>
      </w:tr>
      <w:tr>
        <w:tc>
          <w:tcPr>
            <w:tcW w:type="dxa" w:w="2280"/>
          </w:tcPr>
          <w:p>
            <w:pPr>
              <w:jc w:val="center"/>
            </w:pPr>
            <w:r/>
            <w:r>
              <w:rPr>
                <w:rFonts w:ascii="Times New Roman" w:hAnsi="Times New Roman" w:cs="Times New Roman" w:eastAsia="Times New Roman"/>
                <w:sz w:val="22"/>
              </w:rPr>
              <w:t>Extremely / Absolutely more important</w:t>
            </w:r>
          </w:p>
        </w:tc>
        <w:tc>
          <w:tcPr>
            <w:tcW w:type="dxa" w:w="2280"/>
          </w:tcPr>
          <w:p>
            <w:pPr>
              <w:jc w:val="center"/>
            </w:pPr>
            <w:r/>
            <w:r>
              <w:rPr>
                <w:rFonts w:ascii="Times New Roman" w:hAnsi="Times New Roman" w:cs="Times New Roman" w:eastAsia="Times New Roman"/>
                <w:sz w:val="22"/>
              </w:rPr>
              <w:t>9</w:t>
            </w:r>
          </w:p>
        </w:tc>
        <w:tc>
          <w:tcPr>
            <w:tcW w:type="dxa" w:w="2280"/>
          </w:tcPr>
          <w:p>
            <w:pPr>
              <w:jc w:val="center"/>
            </w:pPr>
            <w:r/>
            <w:r>
              <w:rPr>
                <w:rFonts w:ascii="Times New Roman" w:hAnsi="Times New Roman" w:cs="Times New Roman" w:eastAsia="Times New Roman"/>
                <w:sz w:val="22"/>
              </w:rPr>
              <w:t>(7, 9, 9)</w:t>
            </w:r>
          </w:p>
        </w:tc>
        <w:tc>
          <w:tcPr>
            <w:tcW w:type="dxa" w:w="2280"/>
          </w:tcPr>
          <w:p>
            <w:pPr>
              <w:jc w:val="center"/>
            </w:pPr>
            <w:r/>
            <w:r>
              <w:rPr>
                <w:rFonts w:ascii="Times New Roman" w:hAnsi="Times New Roman" w:cs="Times New Roman" w:eastAsia="Times New Roman"/>
                <w:sz w:val="22"/>
              </w:rPr>
              <w:t>(1/9, 1/9, 1/7)</w:t>
            </w:r>
          </w:p>
        </w:tc>
      </w:tr>
      <w:tr>
        <w:tc>
          <w:tcPr>
            <w:tcW w:type="dxa" w:w="2280"/>
          </w:tcPr>
          <w:p>
            <w:pPr>
              <w:jc w:val="center"/>
            </w:pPr>
            <w:r/>
            <w:r>
              <w:rPr>
                <w:rFonts w:ascii="Times New Roman" w:hAnsi="Times New Roman" w:cs="Times New Roman" w:eastAsia="Times New Roman"/>
                <w:sz w:val="22"/>
              </w:rPr>
              <w:t>Intermediate values</w:t>
            </w:r>
          </w:p>
        </w:tc>
        <w:tc>
          <w:tcPr>
            <w:tcW w:type="dxa" w:w="2280"/>
          </w:tcPr>
          <w:p>
            <w:pPr>
              <w:jc w:val="center"/>
            </w:pPr>
            <w:r/>
            <w:r>
              <w:rPr>
                <w:rFonts w:ascii="Times New Roman" w:hAnsi="Times New Roman" w:cs="Times New Roman" w:eastAsia="Times New Roman"/>
                <w:sz w:val="22"/>
              </w:rPr>
              <w:t>2, 4, 6, 8</w:t>
            </w:r>
          </w:p>
        </w:tc>
        <w:tc>
          <w:tcPr>
            <w:tcW w:type="dxa" w:w="2280"/>
          </w:tcPr>
          <w:p>
            <w:pPr>
              <w:jc w:val="center"/>
            </w:pPr>
            <w:r/>
            <w:r>
              <w:rPr>
                <w:rFonts w:ascii="Times New Roman" w:hAnsi="Times New Roman" w:cs="Times New Roman" w:eastAsia="Times New Roman"/>
                <w:sz w:val="22"/>
              </w:rPr>
              <w:t>Linear interpolation</w:t>
            </w:r>
          </w:p>
        </w:tc>
        <w:tc>
          <w:tcPr>
            <w:tcW w:type="dxa" w:w="2280"/>
          </w:tcPr>
          <w:p>
            <w:pPr>
              <w:jc w:val="center"/>
            </w:pPr>
            <w:r/>
            <w:r>
              <w:rPr>
                <w:rFonts w:ascii="Times New Roman" w:hAnsi="Times New Roman" w:cs="Times New Roman" w:eastAsia="Times New Roman"/>
                <w:sz w:val="22"/>
              </w:rPr>
              <w:t>Reciprocal interpolation</w:t>
            </w:r>
          </w:p>
        </w:tc>
      </w:tr>
    </w:tbl>
    <w:p/>
    <w:p>
      <w:pPr>
        <w:keepNext/>
        <w:spacing w:before="160" w:after="80"/>
      </w:pPr>
      <w:r>
        <w:rPr>
          <w:rFonts w:ascii="Times New Roman" w:hAnsi="Times New Roman" w:cs="Times New Roman" w:eastAsia="Times New Roman"/>
          <w:i/>
          <w:sz w:val="24"/>
        </w:rPr>
        <w:t>3.6.2  Elimination and Choice Translating Reality (ELECTRE)</w:t>
      </w:r>
    </w:p>
    <w:p>
      <w:pPr>
        <w:spacing w:after="120" w:line="360" w:lineRule="auto"/>
        <w:jc w:val="both"/>
      </w:pPr>
      <w:r>
        <w:rPr>
          <w:rFonts w:ascii="Times New Roman" w:hAnsi="Times New Roman" w:cs="Times New Roman" w:eastAsia="Times New Roman"/>
          <w:b w:val="0"/>
          <w:i w:val="0"/>
          <w:sz w:val="24"/>
        </w:rPr>
        <w:t>ELECTRE is an outranking MCDM method developed by Roy (1968, 1991). Unlike utility-based methods, ELECTRE does not seek a single aggregated score for each alternative; instead, it establishes whether one alternative "outranks" another on the basis of concordance (the strength of evidence in favour of the outranking) and discordance (the strength of evidence against it). This logic is well aligned with the Malta distribution problem, in which no channel dominates on every criterion and trade-offs must therefore be evaluated explicitly. The notation used in this study is summarised in Table 3.4.</w:t>
      </w:r>
    </w:p>
    <w:p>
      <w:pPr>
        <w:spacing w:before="160" w:after="80"/>
        <w:jc w:val="center"/>
      </w:pPr>
      <w:r>
        <w:rPr>
          <w:rFonts w:ascii="Times New Roman" w:hAnsi="Times New Roman" w:cs="Times New Roman" w:eastAsia="Times New Roman"/>
          <w:b/>
          <w:sz w:val="22"/>
        </w:rPr>
        <w:t>Table 3.4: Notation used in the ELECTRE Procedure</w:t>
      </w:r>
    </w:p>
    <w:tbl>
      <w:tblPr>
        <w:tblStyle w:val="LightGrid-Accent1"/>
        <w:tblW w:type="auto" w:w="0"/>
        <w:tblLook w:firstColumn="1" w:firstRow="1" w:lastColumn="0" w:lastRow="0" w:noHBand="0" w:noVBand="1" w:val="04A0"/>
      </w:tblPr>
      <w:tblGrid>
        <w:gridCol w:w="4561"/>
        <w:gridCol w:w="4561"/>
      </w:tblGrid>
      <w:tr>
        <w:tc>
          <w:tcPr>
            <w:tcW w:type="dxa" w:w="4561"/>
            <w:shd w:val="clear" w:color="auto" w:fill="D9E1F2"/>
          </w:tcPr>
          <w:p>
            <w:pPr>
              <w:jc w:val="center"/>
            </w:pPr>
            <w:r/>
            <w:r>
              <w:rPr>
                <w:rFonts w:ascii="Times New Roman" w:hAnsi="Times New Roman" w:cs="Times New Roman" w:eastAsia="Times New Roman"/>
                <w:b/>
                <w:sz w:val="22"/>
              </w:rPr>
              <w:t>Symbol</w:t>
            </w:r>
          </w:p>
        </w:tc>
        <w:tc>
          <w:tcPr>
            <w:tcW w:type="dxa" w:w="4561"/>
            <w:shd w:val="clear" w:color="auto" w:fill="D9E1F2"/>
          </w:tcPr>
          <w:p>
            <w:pPr>
              <w:jc w:val="center"/>
            </w:pPr>
            <w:r/>
            <w:r>
              <w:rPr>
                <w:rFonts w:ascii="Times New Roman" w:hAnsi="Times New Roman" w:cs="Times New Roman" w:eastAsia="Times New Roman"/>
                <w:b/>
                <w:sz w:val="22"/>
              </w:rPr>
              <w:t>Meaning</w:t>
            </w:r>
          </w:p>
        </w:tc>
      </w:tr>
      <w:tr>
        <w:tc>
          <w:tcPr>
            <w:tcW w:type="dxa" w:w="4561"/>
          </w:tcPr>
          <w:p>
            <w:pPr>
              <w:jc w:val="center"/>
            </w:pPr>
            <w:r/>
            <w:r>
              <w:rPr>
                <w:rFonts w:ascii="Times New Roman" w:hAnsi="Times New Roman" w:cs="Times New Roman" w:eastAsia="Times New Roman"/>
                <w:sz w:val="22"/>
              </w:rPr>
              <w:t>A = {a1, a2, …, am}</w:t>
            </w:r>
          </w:p>
        </w:tc>
        <w:tc>
          <w:tcPr>
            <w:tcW w:type="dxa" w:w="4561"/>
          </w:tcPr>
          <w:p>
            <w:pPr>
              <w:jc w:val="center"/>
            </w:pPr>
            <w:r/>
            <w:r>
              <w:rPr>
                <w:rFonts w:ascii="Times New Roman" w:hAnsi="Times New Roman" w:cs="Times New Roman" w:eastAsia="Times New Roman"/>
                <w:sz w:val="22"/>
              </w:rPr>
              <w:t>Set of distribution-channel alternatives</w:t>
            </w:r>
          </w:p>
        </w:tc>
      </w:tr>
      <w:tr>
        <w:tc>
          <w:tcPr>
            <w:tcW w:type="dxa" w:w="4561"/>
          </w:tcPr>
          <w:p>
            <w:pPr>
              <w:jc w:val="center"/>
            </w:pPr>
            <w:r/>
            <w:r>
              <w:rPr>
                <w:rFonts w:ascii="Times New Roman" w:hAnsi="Times New Roman" w:cs="Times New Roman" w:eastAsia="Times New Roman"/>
                <w:sz w:val="22"/>
              </w:rPr>
              <w:t>C = {c1, c2, …, cn}</w:t>
            </w:r>
          </w:p>
        </w:tc>
        <w:tc>
          <w:tcPr>
            <w:tcW w:type="dxa" w:w="4561"/>
          </w:tcPr>
          <w:p>
            <w:pPr>
              <w:jc w:val="center"/>
            </w:pPr>
            <w:r/>
            <w:r>
              <w:rPr>
                <w:rFonts w:ascii="Times New Roman" w:hAnsi="Times New Roman" w:cs="Times New Roman" w:eastAsia="Times New Roman"/>
                <w:sz w:val="22"/>
              </w:rPr>
              <w:t>Set of decision criteria</w:t>
            </w:r>
          </w:p>
        </w:tc>
      </w:tr>
      <w:tr>
        <w:tc>
          <w:tcPr>
            <w:tcW w:type="dxa" w:w="4561"/>
          </w:tcPr>
          <w:p>
            <w:pPr>
              <w:jc w:val="center"/>
            </w:pPr>
            <w:r/>
            <w:r>
              <w:rPr>
                <w:rFonts w:ascii="Times New Roman" w:hAnsi="Times New Roman" w:cs="Times New Roman" w:eastAsia="Times New Roman"/>
                <w:sz w:val="22"/>
              </w:rPr>
              <w:t>wj</w:t>
            </w:r>
          </w:p>
        </w:tc>
        <w:tc>
          <w:tcPr>
            <w:tcW w:type="dxa" w:w="4561"/>
          </w:tcPr>
          <w:p>
            <w:pPr>
              <w:jc w:val="center"/>
            </w:pPr>
            <w:r/>
            <w:r>
              <w:rPr>
                <w:rFonts w:ascii="Times New Roman" w:hAnsi="Times New Roman" w:cs="Times New Roman" w:eastAsia="Times New Roman"/>
                <w:sz w:val="22"/>
              </w:rPr>
              <w:t>Weight of criterion j (taken from Fuzzy AHP, Σ wj = 1)</w:t>
            </w:r>
          </w:p>
        </w:tc>
      </w:tr>
      <w:tr>
        <w:tc>
          <w:tcPr>
            <w:tcW w:type="dxa" w:w="4561"/>
          </w:tcPr>
          <w:p>
            <w:pPr>
              <w:jc w:val="center"/>
            </w:pPr>
            <w:r/>
            <w:r>
              <w:rPr>
                <w:rFonts w:ascii="Times New Roman" w:hAnsi="Times New Roman" w:cs="Times New Roman" w:eastAsia="Times New Roman"/>
                <w:sz w:val="22"/>
              </w:rPr>
              <w:t>X = [xij]</w:t>
            </w:r>
          </w:p>
        </w:tc>
        <w:tc>
          <w:tcPr>
            <w:tcW w:type="dxa" w:w="4561"/>
          </w:tcPr>
          <w:p>
            <w:pPr>
              <w:jc w:val="center"/>
            </w:pPr>
            <w:r/>
            <w:r>
              <w:rPr>
                <w:rFonts w:ascii="Times New Roman" w:hAnsi="Times New Roman" w:cs="Times New Roman" w:eastAsia="Times New Roman"/>
                <w:sz w:val="22"/>
              </w:rPr>
              <w:t>Decision matrix; xij is the score of alternative i on criterion j</w:t>
            </w:r>
          </w:p>
        </w:tc>
      </w:tr>
      <w:tr>
        <w:tc>
          <w:tcPr>
            <w:tcW w:type="dxa" w:w="4561"/>
          </w:tcPr>
          <w:p>
            <w:pPr>
              <w:jc w:val="center"/>
            </w:pPr>
            <w:r/>
            <w:r>
              <w:rPr>
                <w:rFonts w:ascii="Times New Roman" w:hAnsi="Times New Roman" w:cs="Times New Roman" w:eastAsia="Times New Roman"/>
                <w:sz w:val="22"/>
              </w:rPr>
              <w:t>R = [rij]</w:t>
            </w:r>
          </w:p>
        </w:tc>
        <w:tc>
          <w:tcPr>
            <w:tcW w:type="dxa" w:w="4561"/>
          </w:tcPr>
          <w:p>
            <w:pPr>
              <w:jc w:val="center"/>
            </w:pPr>
            <w:r/>
            <w:r>
              <w:rPr>
                <w:rFonts w:ascii="Times New Roman" w:hAnsi="Times New Roman" w:cs="Times New Roman" w:eastAsia="Times New Roman"/>
                <w:sz w:val="22"/>
              </w:rPr>
              <w:t>Normalised decision matrix</w:t>
            </w:r>
          </w:p>
        </w:tc>
      </w:tr>
      <w:tr>
        <w:tc>
          <w:tcPr>
            <w:tcW w:type="dxa" w:w="4561"/>
          </w:tcPr>
          <w:p>
            <w:pPr>
              <w:jc w:val="center"/>
            </w:pPr>
            <w:r/>
            <w:r>
              <w:rPr>
                <w:rFonts w:ascii="Times New Roman" w:hAnsi="Times New Roman" w:cs="Times New Roman" w:eastAsia="Times New Roman"/>
                <w:sz w:val="22"/>
              </w:rPr>
              <w:t>V = [vij] = wj · rij</w:t>
            </w:r>
          </w:p>
        </w:tc>
        <w:tc>
          <w:tcPr>
            <w:tcW w:type="dxa" w:w="4561"/>
          </w:tcPr>
          <w:p>
            <w:pPr>
              <w:jc w:val="center"/>
            </w:pPr>
            <w:r/>
            <w:r>
              <w:rPr>
                <w:rFonts w:ascii="Times New Roman" w:hAnsi="Times New Roman" w:cs="Times New Roman" w:eastAsia="Times New Roman"/>
                <w:sz w:val="22"/>
              </w:rPr>
              <w:t>Weighted normalised decision matrix</w:t>
            </w:r>
          </w:p>
        </w:tc>
      </w:tr>
      <w:tr>
        <w:tc>
          <w:tcPr>
            <w:tcW w:type="dxa" w:w="4561"/>
          </w:tcPr>
          <w:p>
            <w:pPr>
              <w:jc w:val="center"/>
            </w:pPr>
            <w:r/>
            <w:r>
              <w:rPr>
                <w:rFonts w:ascii="Times New Roman" w:hAnsi="Times New Roman" w:cs="Times New Roman" w:eastAsia="Times New Roman"/>
                <w:sz w:val="22"/>
              </w:rPr>
              <w:t>C(a, b)</w:t>
            </w:r>
          </w:p>
        </w:tc>
        <w:tc>
          <w:tcPr>
            <w:tcW w:type="dxa" w:w="4561"/>
          </w:tcPr>
          <w:p>
            <w:pPr>
              <w:jc w:val="center"/>
            </w:pPr>
            <w:r/>
            <w:r>
              <w:rPr>
                <w:rFonts w:ascii="Times New Roman" w:hAnsi="Times New Roman" w:cs="Times New Roman" w:eastAsia="Times New Roman"/>
                <w:sz w:val="22"/>
              </w:rPr>
              <w:t>Concordance index (set of criteria for which a is at least as good as b)</w:t>
            </w:r>
          </w:p>
        </w:tc>
      </w:tr>
      <w:tr>
        <w:tc>
          <w:tcPr>
            <w:tcW w:type="dxa" w:w="4561"/>
          </w:tcPr>
          <w:p>
            <w:pPr>
              <w:jc w:val="center"/>
            </w:pPr>
            <w:r/>
            <w:r>
              <w:rPr>
                <w:rFonts w:ascii="Times New Roman" w:hAnsi="Times New Roman" w:cs="Times New Roman" w:eastAsia="Times New Roman"/>
                <w:sz w:val="22"/>
              </w:rPr>
              <w:t>D(a, b)</w:t>
            </w:r>
          </w:p>
        </w:tc>
        <w:tc>
          <w:tcPr>
            <w:tcW w:type="dxa" w:w="4561"/>
          </w:tcPr>
          <w:p>
            <w:pPr>
              <w:jc w:val="center"/>
            </w:pPr>
            <w:r/>
            <w:r>
              <w:rPr>
                <w:rFonts w:ascii="Times New Roman" w:hAnsi="Times New Roman" w:cs="Times New Roman" w:eastAsia="Times New Roman"/>
                <w:sz w:val="22"/>
              </w:rPr>
              <w:t>Discordance index</w:t>
            </w:r>
          </w:p>
        </w:tc>
      </w:tr>
      <w:tr>
        <w:tc>
          <w:tcPr>
            <w:tcW w:type="dxa" w:w="4561"/>
          </w:tcPr>
          <w:p>
            <w:pPr>
              <w:jc w:val="center"/>
            </w:pPr>
            <w:r/>
            <w:r>
              <w:rPr>
                <w:rFonts w:ascii="Times New Roman" w:hAnsi="Times New Roman" w:cs="Times New Roman" w:eastAsia="Times New Roman"/>
                <w:sz w:val="22"/>
              </w:rPr>
              <w:t>c̄, d̄</w:t>
            </w:r>
          </w:p>
        </w:tc>
        <w:tc>
          <w:tcPr>
            <w:tcW w:type="dxa" w:w="4561"/>
          </w:tcPr>
          <w:p>
            <w:pPr>
              <w:jc w:val="center"/>
            </w:pPr>
            <w:r/>
            <w:r>
              <w:rPr>
                <w:rFonts w:ascii="Times New Roman" w:hAnsi="Times New Roman" w:cs="Times New Roman" w:eastAsia="Times New Roman"/>
                <w:sz w:val="22"/>
              </w:rPr>
              <w:t>Concordance and discordance thresholds (mean of C and D)</w:t>
            </w:r>
          </w:p>
        </w:tc>
      </w:tr>
      <w:tr>
        <w:tc>
          <w:tcPr>
            <w:tcW w:type="dxa" w:w="4561"/>
          </w:tcPr>
          <w:p>
            <w:pPr>
              <w:jc w:val="center"/>
            </w:pPr>
            <w:r/>
            <w:r>
              <w:rPr>
                <w:rFonts w:ascii="Times New Roman" w:hAnsi="Times New Roman" w:cs="Times New Roman" w:eastAsia="Times New Roman"/>
                <w:sz w:val="22"/>
              </w:rPr>
              <w:t>F = [fab], G = [gab]</w:t>
            </w:r>
          </w:p>
        </w:tc>
        <w:tc>
          <w:tcPr>
            <w:tcW w:type="dxa" w:w="4561"/>
          </w:tcPr>
          <w:p>
            <w:pPr>
              <w:jc w:val="center"/>
            </w:pPr>
            <w:r/>
            <w:r>
              <w:rPr>
                <w:rFonts w:ascii="Times New Roman" w:hAnsi="Times New Roman" w:cs="Times New Roman" w:eastAsia="Times New Roman"/>
                <w:sz w:val="22"/>
              </w:rPr>
              <w:t>Concordance and discordance dominance matrices</w:t>
            </w:r>
          </w:p>
        </w:tc>
      </w:tr>
      <w:tr>
        <w:tc>
          <w:tcPr>
            <w:tcW w:type="dxa" w:w="4561"/>
          </w:tcPr>
          <w:p>
            <w:pPr>
              <w:jc w:val="center"/>
            </w:pPr>
            <w:r/>
            <w:r>
              <w:rPr>
                <w:rFonts w:ascii="Times New Roman" w:hAnsi="Times New Roman" w:cs="Times New Roman" w:eastAsia="Times New Roman"/>
                <w:sz w:val="22"/>
              </w:rPr>
              <w:t>E = F ⊙ G</w:t>
            </w:r>
          </w:p>
        </w:tc>
        <w:tc>
          <w:tcPr>
            <w:tcW w:type="dxa" w:w="4561"/>
          </w:tcPr>
          <w:p>
            <w:pPr>
              <w:jc w:val="center"/>
            </w:pPr>
            <w:r/>
            <w:r>
              <w:rPr>
                <w:rFonts w:ascii="Times New Roman" w:hAnsi="Times New Roman" w:cs="Times New Roman" w:eastAsia="Times New Roman"/>
                <w:sz w:val="22"/>
              </w:rPr>
              <w:t>Aggregate dominance matrix used to derive the final ranking</w:t>
            </w:r>
          </w:p>
        </w:tc>
      </w:tr>
    </w:tbl>
    <w:p/>
    <w:p>
      <w:pPr>
        <w:spacing w:after="120" w:line="360" w:lineRule="auto"/>
        <w:jc w:val="both"/>
      </w:pPr>
      <w:r>
        <w:rPr>
          <w:rFonts w:ascii="Times New Roman" w:hAnsi="Times New Roman" w:cs="Times New Roman" w:eastAsia="Times New Roman"/>
          <w:b w:val="0"/>
          <w:i w:val="0"/>
          <w:sz w:val="24"/>
        </w:rPr>
        <w:t>The procedural steps of ELECTRE are as follows:</w:t>
      </w:r>
    </w:p>
    <w:p>
      <w:pPr>
        <w:pStyle w:val="ListBullet"/>
        <w:spacing w:after="40"/>
      </w:pPr>
      <w:r/>
      <w:r>
        <w:rPr>
          <w:rFonts w:ascii="Times New Roman" w:hAnsi="Times New Roman" w:cs="Times New Roman" w:eastAsia="Times New Roman"/>
          <w:sz w:val="24"/>
        </w:rPr>
        <w:t>Step 1 — Construct the decision matrix X = [xij] in which each row is a distribution-channel alternative and each column is a criterion. Entries are the mean ratings obtained from the stakeholder survey.</w:t>
      </w:r>
    </w:p>
    <w:p>
      <w:pPr>
        <w:pStyle w:val="ListBullet"/>
        <w:spacing w:after="40"/>
      </w:pPr>
      <w:r/>
      <w:r>
        <w:rPr>
          <w:rFonts w:ascii="Times New Roman" w:hAnsi="Times New Roman" w:cs="Times New Roman" w:eastAsia="Times New Roman"/>
          <w:sz w:val="24"/>
        </w:rPr>
        <w:t>Step 2 — Normalise the decision matrix using vector normalisation: rij = xij / sqrt(Σi xij²).</w:t>
      </w:r>
    </w:p>
    <w:p>
      <w:pPr>
        <w:pStyle w:val="ListBullet"/>
        <w:spacing w:after="40"/>
      </w:pPr>
      <w:r/>
      <w:r>
        <w:rPr>
          <w:rFonts w:ascii="Times New Roman" w:hAnsi="Times New Roman" w:cs="Times New Roman" w:eastAsia="Times New Roman"/>
          <w:sz w:val="24"/>
        </w:rPr>
        <w:t>Step 3 — Compute the weighted normalised matrix V by multiplying each column rij by the criterion weight wj obtained from Fuzzy AHP.</w:t>
      </w:r>
    </w:p>
    <w:p>
      <w:pPr>
        <w:pStyle w:val="ListBullet"/>
        <w:spacing w:after="40"/>
      </w:pPr>
      <w:r/>
      <w:r>
        <w:rPr>
          <w:rFonts w:ascii="Times New Roman" w:hAnsi="Times New Roman" w:cs="Times New Roman" w:eastAsia="Times New Roman"/>
          <w:sz w:val="24"/>
        </w:rPr>
        <w:t>Step 4 — For every ordered pair of alternatives (a, b), compute the concordance set C(a, b) (criteria on which a is at least as good as b) and the discordance set D(a, b) (criteria on which a is worse than b).</w:t>
      </w:r>
    </w:p>
    <w:p>
      <w:pPr>
        <w:pStyle w:val="ListBullet"/>
        <w:spacing w:after="40"/>
      </w:pPr>
      <w:r/>
      <w:r>
        <w:rPr>
          <w:rFonts w:ascii="Times New Roman" w:hAnsi="Times New Roman" w:cs="Times New Roman" w:eastAsia="Times New Roman"/>
          <w:sz w:val="24"/>
        </w:rPr>
        <w:t>Step 5 — Compute the concordance index C(a,b) = Σ wj for j ∈ C(a,b), and the discordance index D(a,b) = max{|vaj − vbj|} / max{|vij − vkj| over all i, k}.</w:t>
      </w:r>
    </w:p>
    <w:p>
      <w:pPr>
        <w:pStyle w:val="ListBullet"/>
        <w:spacing w:after="40"/>
      </w:pPr>
      <w:r/>
      <w:r>
        <w:rPr>
          <w:rFonts w:ascii="Times New Roman" w:hAnsi="Times New Roman" w:cs="Times New Roman" w:eastAsia="Times New Roman"/>
          <w:sz w:val="24"/>
        </w:rPr>
        <w:t>Step 6 — Compute the concordance threshold c̄ and the discordance threshold d̄ as the average of the corresponding indices, and construct the boolean dominance matrices F and G.</w:t>
      </w:r>
    </w:p>
    <w:p>
      <w:pPr>
        <w:pStyle w:val="ListBullet"/>
        <w:spacing w:after="40"/>
      </w:pPr>
      <w:r/>
      <w:r>
        <w:rPr>
          <w:rFonts w:ascii="Times New Roman" w:hAnsi="Times New Roman" w:cs="Times New Roman" w:eastAsia="Times New Roman"/>
          <w:sz w:val="24"/>
        </w:rPr>
        <w:t>Step 7 — Multiply F element-wise with G to obtain the aggregate dominance matrix E. Alternative a outranks alternative b if and only if eab = 1.</w:t>
      </w:r>
    </w:p>
    <w:p>
      <w:pPr>
        <w:pStyle w:val="ListBullet"/>
        <w:spacing w:after="40"/>
      </w:pPr>
      <w:r/>
      <w:r>
        <w:rPr>
          <w:rFonts w:ascii="Times New Roman" w:hAnsi="Times New Roman" w:cs="Times New Roman" w:eastAsia="Times New Roman"/>
          <w:sz w:val="24"/>
        </w:rPr>
        <w:t>Step 8 — Construct the outranking graph and derive the final ranking of distribution-channel alternatives.</w:t>
      </w:r>
    </w:p>
    <w:p>
      <w:pPr>
        <w:keepNext/>
        <w:spacing w:before="160" w:after="80"/>
      </w:pPr>
      <w:r>
        <w:rPr>
          <w:rFonts w:ascii="Times New Roman" w:hAnsi="Times New Roman" w:cs="Times New Roman" w:eastAsia="Times New Roman"/>
          <w:i/>
          <w:sz w:val="24"/>
        </w:rPr>
        <w:t>3.6.3  Integration of Fuzzy AHP and ELECTRE</w:t>
      </w:r>
    </w:p>
    <w:p>
      <w:pPr>
        <w:spacing w:after="120" w:line="360" w:lineRule="auto"/>
        <w:jc w:val="both"/>
      </w:pPr>
      <w:r>
        <w:rPr>
          <w:rFonts w:ascii="Times New Roman" w:hAnsi="Times New Roman" w:cs="Times New Roman" w:eastAsia="Times New Roman"/>
          <w:b w:val="0"/>
          <w:i w:val="0"/>
          <w:sz w:val="24"/>
        </w:rPr>
        <w:t>The two tools are integrated as follows. The criterion weights wj produced by Fuzzy AHP at the end of Step 7 of the Fuzzy AHP procedure feed directly into Step 3 of the ELECTRE procedure, where they enter the weighted normalised decision matrix V. No other analytical tool is used in the study. The complete research process — from problem identification to the final ranking of distribution-channel alternatives — is summarised in Figure 3.1.</w:t>
      </w:r>
    </w:p>
    <w:p>
      <w:pPr>
        <w:keepNext/>
        <w:spacing w:before="280" w:after="160"/>
      </w:pPr>
      <w:r>
        <w:rPr>
          <w:rFonts w:ascii="Times New Roman" w:hAnsi="Times New Roman" w:cs="Times New Roman" w:eastAsia="Times New Roman"/>
          <w:b/>
          <w:sz w:val="28"/>
        </w:rPr>
        <w:t>3.7  Research Process Flow Diagram</w:t>
      </w:r>
    </w:p>
    <w:p>
      <w:pPr>
        <w:spacing w:after="120" w:line="360" w:lineRule="auto"/>
        <w:jc w:val="both"/>
      </w:pPr>
      <w:r>
        <w:rPr>
          <w:rFonts w:ascii="Times New Roman" w:hAnsi="Times New Roman" w:cs="Times New Roman" w:eastAsia="Times New Roman"/>
          <w:b w:val="0"/>
          <w:i w:val="0"/>
          <w:sz w:val="24"/>
        </w:rPr>
        <w:t>Figure 3.1 presents the complete research process used in the study. The left-hand branch shows the Fuzzy AHP weight-derivation track and the right-hand branch shows the ELECTRE outranking track. The two branches converge at Step 7, in which the optimal distribution channel for Malta is identified and recommendations are framed.</w:t>
      </w:r>
    </w:p>
    <w:p>
      <w:pPr>
        <w:jc w:val="center"/>
      </w:pPr>
      <w:r>
        <w:drawing>
          <wp:inline xmlns:a="http://schemas.openxmlformats.org/drawingml/2006/main" xmlns:pic="http://schemas.openxmlformats.org/drawingml/2006/picture">
            <wp:extent cx="5486400" cy="7120230"/>
            <wp:docPr id="1" name="Picture 1"/>
            <wp:cNvGraphicFramePr>
              <a:graphicFrameLocks noChangeAspect="1"/>
            </wp:cNvGraphicFramePr>
            <a:graphic>
              <a:graphicData uri="http://schemas.openxmlformats.org/drawingml/2006/picture">
                <pic:pic>
                  <pic:nvPicPr>
                    <pic:cNvPr id="0" name="flow_diagram_chapter3.png"/>
                    <pic:cNvPicPr/>
                  </pic:nvPicPr>
                  <pic:blipFill>
                    <a:blip r:embed="rId9"/>
                    <a:stretch>
                      <a:fillRect/>
                    </a:stretch>
                  </pic:blipFill>
                  <pic:spPr>
                    <a:xfrm>
                      <a:off x="0" y="0"/>
                      <a:ext cx="5486400" cy="7120230"/>
                    </a:xfrm>
                    <a:prstGeom prst="rect"/>
                  </pic:spPr>
                </pic:pic>
              </a:graphicData>
            </a:graphic>
          </wp:inline>
        </w:drawing>
      </w:r>
    </w:p>
    <w:p>
      <w:pPr>
        <w:spacing w:before="160" w:after="80"/>
        <w:jc w:val="center"/>
      </w:pPr>
      <w:r>
        <w:rPr>
          <w:rFonts w:ascii="Times New Roman" w:hAnsi="Times New Roman" w:cs="Times New Roman" w:eastAsia="Times New Roman"/>
          <w:b/>
          <w:sz w:val="22"/>
        </w:rPr>
        <w:t>Figure 3.1: Research Process Flow Diagram for the Malta Distribution Channel Optimisation Study</w:t>
      </w:r>
    </w:p>
    <w:p>
      <w:pPr>
        <w:keepNext/>
        <w:spacing w:before="280" w:after="160"/>
      </w:pPr>
      <w:r>
        <w:rPr>
          <w:rFonts w:ascii="Times New Roman" w:hAnsi="Times New Roman" w:cs="Times New Roman" w:eastAsia="Times New Roman"/>
          <w:b/>
          <w:sz w:val="28"/>
        </w:rPr>
        <w:t>3.8  Reliability and Validity</w:t>
      </w:r>
    </w:p>
    <w:p>
      <w:pPr>
        <w:spacing w:after="120" w:line="360" w:lineRule="auto"/>
        <w:jc w:val="both"/>
      </w:pPr>
      <w:r>
        <w:rPr>
          <w:rFonts w:ascii="Times New Roman" w:hAnsi="Times New Roman" w:cs="Times New Roman" w:eastAsia="Times New Roman"/>
          <w:b w:val="0"/>
          <w:i w:val="0"/>
          <w:sz w:val="24"/>
        </w:rPr>
        <w:t>Reliability of the responses was ensured by enforcing the Consistency Ratio criterion in Fuzzy AHP: every pairwise-comparison matrix with CR ≥ 0.10 was returned to the respondent for revision and matrices that could not be reconciled were excluded from the analysis. Content validity was ensured by deriving the criteria from the literature and by refining them in consultation with subject experts. Face validity was checked during pre-testing, and convergent validity was supported by the agreement between the Fuzzy AHP rank-order of criteria and the rank-order suggested by independent expert panels.</w:t>
      </w:r>
    </w:p>
    <w:p>
      <w:pPr>
        <w:keepNext/>
        <w:spacing w:before="280" w:after="160"/>
      </w:pPr>
      <w:r>
        <w:rPr>
          <w:rFonts w:ascii="Times New Roman" w:hAnsi="Times New Roman" w:cs="Times New Roman" w:eastAsia="Times New Roman"/>
          <w:b/>
          <w:sz w:val="28"/>
        </w:rPr>
        <w:t>3.9  Ethical Considerations</w:t>
      </w:r>
    </w:p>
    <w:p>
      <w:pPr>
        <w:spacing w:after="120" w:line="360" w:lineRule="auto"/>
        <w:jc w:val="both"/>
      </w:pPr>
      <w:r>
        <w:rPr>
          <w:rFonts w:ascii="Times New Roman" w:hAnsi="Times New Roman" w:cs="Times New Roman" w:eastAsia="Times New Roman"/>
          <w:b w:val="0"/>
          <w:i w:val="0"/>
          <w:sz w:val="24"/>
        </w:rPr>
        <w:t>Participation in the study was voluntary and informed consent was obtained from every respondent. Respondents were assured that their identity would remain anonymous and that the data would be used solely for academic purposes. No commercially sensitive information was solicited or recorded, and the researcher complied with the ethical guidelines of the parent institution throughout the fieldwork.</w:t>
      </w:r>
    </w:p>
    <w:p>
      <w:pPr>
        <w:keepNext/>
        <w:spacing w:before="280" w:after="160"/>
      </w:pPr>
      <w:r>
        <w:rPr>
          <w:rFonts w:ascii="Times New Roman" w:hAnsi="Times New Roman" w:cs="Times New Roman" w:eastAsia="Times New Roman"/>
          <w:b/>
          <w:sz w:val="28"/>
        </w:rPr>
        <w:t>3.10  Concluding Remarks</w:t>
      </w:r>
    </w:p>
    <w:p>
      <w:pPr>
        <w:spacing w:after="120" w:line="360" w:lineRule="auto"/>
        <w:jc w:val="both"/>
      </w:pPr>
      <w:r>
        <w:rPr>
          <w:rFonts w:ascii="Times New Roman" w:hAnsi="Times New Roman" w:cs="Times New Roman" w:eastAsia="Times New Roman"/>
          <w:b w:val="0"/>
          <w:i w:val="0"/>
          <w:sz w:val="24"/>
        </w:rPr>
        <w:t>This chapter has set out the cross-sectional research design, the multi-stage purposive sampling frame, and the 1,300-respondent sample on which the present study is based. The justification for this sample size has been articulated in the specific context of MCDM analysis and rests on aggregation stability, statistical adequacy, stakeholder representativeness, geographical coverage and robustness of the ELECTRE outranking. The two analytical tools used in the study — Fuzzy AHP for criterion weighting and ELECTRE for the outranking of distribution-channel alternatives — have been described in detail, and the integration of the two tools has been shown schematically in Figure 3.1. The next chapter applies this methodology to the Malta data and presents the results.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