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3A5F"/>
          <w:sz w:val="44"/>
        </w:rPr>
        <w:t>CHAPTER 3</w:t>
      </w:r>
    </w:p>
    <w:p>
      <w:pPr>
        <w:spacing w:after="480"/>
        <w:jc w:val="center"/>
      </w:pPr>
      <w:r>
        <w:rPr>
          <w:rFonts w:ascii="Times New Roman" w:hAnsi="Times New Roman"/>
          <w:b/>
          <w:color w:val="1F3A5F"/>
          <w:sz w:val="40"/>
        </w:rPr>
        <w:t>RESEARCH METHODOLOGY</w:t>
      </w:r>
    </w:p>
    <w:p>
      <w:pPr>
        <w:pStyle w:val="Heading1"/>
      </w:pPr>
      <w:r>
        <w:rPr>
          <w:rFonts w:ascii="Times New Roman" w:hAnsi="Times New Roman"/>
          <w:color w:val="1F3A5F"/>
          <w:sz w:val="32"/>
        </w:rPr>
        <w:t>3.1 Introduction</w:t>
      </w:r>
    </w:p>
    <w:p>
      <w:pPr>
        <w:spacing w:after="120" w:line="360" w:lineRule="auto"/>
        <w:jc w:val="both"/>
      </w:pPr>
      <w:r>
        <w:rPr>
          <w:rFonts w:ascii="Times New Roman" w:hAnsi="Times New Roman"/>
          <w:sz w:val="24"/>
        </w:rPr>
        <w:t>Research methodology is the systematic blueprint that translates a research problem into investigable questions and converts those questions into empirical evidence (Kothari, 2004; Creswell &amp; Creswell, 2018). It is, in Saunders, Lewis, and Thornhill's (2019) widely cited "research onion" formulation, the layered choice set comprising philosophy, approach, strategy, choices, time horizon, and techniques that together justify how a study generates defensible knowledge.</w:t>
      </w:r>
    </w:p>
    <w:p>
      <w:pPr>
        <w:spacing w:after="120" w:line="360" w:lineRule="auto"/>
        <w:jc w:val="both"/>
      </w:pPr>
      <w:r>
        <w:rPr>
          <w:rFonts w:ascii="Times New Roman" w:hAnsi="Times New Roman"/>
          <w:sz w:val="24"/>
        </w:rPr>
        <w:t>This chapter operationalises the methodological choices for the present investigation entitled "A Study on Factors Impacting Optimisation of Distribution Channels of Malta (Citrus sinensis) with Special Reference to Garhwal Region." The chapter is organised in alignment with the conceptual flow presented in Figure 3.1: (i) clarification of the research design; (ii) description of the study area; (iii) sampling design; (iv) data-collection instruments and procedure; (v) the funnelling of an exhaustive factor inventory of 144 items down to a parsimonious, statistically validated set of 82 items; (vi) the analytical framework, which integrates Fuzzy Analytic Hierarchy Process (Fuzzy AHP) for criteria weighting and Fuzzy ELECTRE for ranking distribution-channel alternatives; and (vii) considerations of validity, reliability, ethics, and methodological limitations.</w:t>
      </w:r>
    </w:p>
    <w:p>
      <w:pPr>
        <w:spacing w:after="120" w:line="360" w:lineRule="auto"/>
        <w:jc w:val="both"/>
      </w:pPr>
      <w:r>
        <w:rPr>
          <w:rFonts w:ascii="Times New Roman" w:hAnsi="Times New Roman"/>
          <w:sz w:val="24"/>
        </w:rPr>
        <w:t>The methodology is deliberately pluralistic but converging. Quantitative survey evidence from supply-chain stakeholders is triangulated with qualitative semi-structured expert interviews (Patton, 2015; Yin, 2018). The use of fuzzy multi-criteria decision-making (F-MCDM) tools is motivated by two characteristic features of the Malta supply chain in Garhwal: (a) human judgements expressed in linguistic, imprecise terms ("high cost", "moderate delay") that are poorly captured by crisp numbers (Zadeh, 1965; Bellman &amp; Zadeh, 1970); and (b) the simultaneous presence of multiple, often conflicting, evaluation criteria - cost, time, and quality - across five sequential supply-chain stages (Chang, 1996; Hatami-Marbini &amp; Tavana, 2011).</w:t>
      </w:r>
    </w:p>
    <w:p>
      <w:pPr>
        <w:pStyle w:val="Heading1"/>
      </w:pPr>
      <w:r>
        <w:rPr>
          <w:rFonts w:ascii="Times New Roman" w:hAnsi="Times New Roman"/>
          <w:color w:val="1F3A5F"/>
          <w:sz w:val="32"/>
        </w:rPr>
        <w:t>3.2 Research Design</w:t>
      </w:r>
    </w:p>
    <w:p>
      <w:pPr>
        <w:pStyle w:val="Heading2"/>
      </w:pPr>
      <w:r>
        <w:rPr>
          <w:rFonts w:ascii="Times New Roman" w:hAnsi="Times New Roman"/>
          <w:color w:val="1F3A5F"/>
          <w:sz w:val="26"/>
        </w:rPr>
        <w:t>3.2.1 Research Philosophy and Approach</w:t>
      </w:r>
    </w:p>
    <w:p>
      <w:pPr>
        <w:spacing w:after="120" w:line="360" w:lineRule="auto"/>
        <w:jc w:val="both"/>
      </w:pPr>
      <w:r>
        <w:rPr>
          <w:rFonts w:ascii="Times New Roman" w:hAnsi="Times New Roman"/>
          <w:sz w:val="24"/>
        </w:rPr>
        <w:t>The study adopts a pragmatist philosophical stance (Tashakkori &amp; Teddlie, 2010), which permits the researcher to use whichever method - quantitative, qualitative, or both - best answers the research question. Epistemologically, the work is post-positivist for the structured survey (objective measurement of stakeholder perceptions) and interpretivist for the expert-interview component (meaning-making around supply-chain inefficiencies). The reasoning is abductive: factors are first inferred from theory and literature, then refined through field engagement, and finally tested through structured measurement (Saunders et al., 2019).</w:t>
      </w:r>
    </w:p>
    <w:p>
      <w:pPr>
        <w:pStyle w:val="Heading2"/>
      </w:pPr>
      <w:r>
        <w:rPr>
          <w:rFonts w:ascii="Times New Roman" w:hAnsi="Times New Roman"/>
          <w:color w:val="1F3A5F"/>
          <w:sz w:val="26"/>
        </w:rPr>
        <w:t>3.2.2 Type of Research Design</w:t>
      </w:r>
    </w:p>
    <w:p>
      <w:pPr>
        <w:spacing w:after="120" w:line="360" w:lineRule="auto"/>
        <w:jc w:val="both"/>
      </w:pPr>
      <w:r>
        <w:rPr>
          <w:rFonts w:ascii="Times New Roman" w:hAnsi="Times New Roman"/>
          <w:sz w:val="24"/>
        </w:rPr>
        <w:t>A cross-sectional, descriptive-cum-analytical research design is employed.</w:t>
      </w:r>
    </w:p>
    <w:p>
      <w:pPr>
        <w:pStyle w:val="ListBullet"/>
        <w:spacing w:after="80" w:line="360" w:lineRule="auto"/>
        <w:jc w:val="both"/>
      </w:pPr>
      <w:r>
        <w:rPr>
          <w:rFonts w:ascii="Times New Roman" w:hAnsi="Times New Roman"/>
          <w:sz w:val="24"/>
        </w:rPr>
        <w:t>Descriptive - because the study profiles stakeholders, maps the existing Malta distribution channels in Garhwal, and documents the prevailing inefficiencies (Malhotra &amp; Dash, 2016).</w:t>
      </w:r>
    </w:p>
    <w:p>
      <w:pPr>
        <w:pStyle w:val="ListBullet"/>
        <w:spacing w:after="80" w:line="360" w:lineRule="auto"/>
        <w:jc w:val="both"/>
      </w:pPr>
      <w:r>
        <w:rPr>
          <w:rFonts w:ascii="Times New Roman" w:hAnsi="Times New Roman"/>
          <w:sz w:val="24"/>
        </w:rPr>
        <w:t>Analytical - because it goes beyond description to quantify and rank the relative impact of factors on channel optimisation, using Fuzzy AHP and Fuzzy ELECTRE (Govindan et al., 2015).</w:t>
      </w:r>
    </w:p>
    <w:p>
      <w:pPr>
        <w:pStyle w:val="ListBullet"/>
        <w:spacing w:after="80" w:line="360" w:lineRule="auto"/>
        <w:jc w:val="both"/>
      </w:pPr>
      <w:r>
        <w:rPr>
          <w:rFonts w:ascii="Times New Roman" w:hAnsi="Times New Roman"/>
          <w:sz w:val="24"/>
        </w:rPr>
        <w:t>Cross-sectional - because data were collected from each respondent at a single point in time during one Malta marketing season (October 2023 - February 2024), rather than longitudinally (Bryman &amp; Bell, 2015). Cross-sectional designs are appropriate when the objective is to identify and prioritise determinants rather than track change over time (Levin, 2006).</w:t>
      </w:r>
    </w:p>
    <w:p>
      <w:pPr>
        <w:pStyle w:val="Heading2"/>
      </w:pPr>
      <w:r>
        <w:rPr>
          <w:rFonts w:ascii="Times New Roman" w:hAnsi="Times New Roman"/>
          <w:color w:val="1F3A5F"/>
          <w:sz w:val="26"/>
        </w:rPr>
        <w:t>3.2.3 Justification of the Mixed-Methods, Cross-Sectional Choice</w:t>
      </w:r>
    </w:p>
    <w:p>
      <w:pPr>
        <w:spacing w:before="120" w:after="40"/>
        <w:jc w:val="center"/>
      </w:pPr>
      <w:r>
        <w:rPr>
          <w:rFonts w:ascii="Times New Roman" w:hAnsi="Times New Roman"/>
          <w:b/>
          <w:i/>
          <w:sz w:val="22"/>
        </w:rPr>
        <w:t>Table 3.0  Justification of Methodological Choices</w:t>
      </w:r>
    </w:p>
    <w:tbl>
      <w:tblPr>
        <w:tblW w:type="auto" w:w="0"/>
        <w:jc w:val="center"/>
        <w:tblLayout w:type="fixed"/>
        <w:tblLook w:firstColumn="1" w:firstRow="1" w:lastColumn="0" w:lastRow="0" w:noHBand="0" w:noVBand="1" w:val="04A0"/>
      </w:tblPr>
      <w:tblGrid>
        <w:gridCol w:w="4561"/>
        <w:gridCol w:w="4561"/>
      </w:tblGrid>
      <w:tr>
        <w:tc>
          <w:tcPr>
            <w:tcW w:type="dxa" w:w="3118"/>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Methodological Issue</w:t>
            </w:r>
          </w:p>
        </w:tc>
        <w:tc>
          <w:tcPr>
            <w:tcW w:type="dxa" w:w="6236"/>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Justification</w:t>
            </w:r>
          </w:p>
        </w:tc>
      </w:tr>
      <w:tr>
        <w:tc>
          <w:tcPr>
            <w:tcW w:type="dxa" w:w="311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Why cross-sectional?</w:t>
            </w:r>
          </w:p>
        </w:tc>
        <w:tc>
          <w:tcPr>
            <w:tcW w:type="dxa" w:w="6236"/>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Malta is a seasonal crop; capturing one full marketing cycle yields complete supply-chain evidence within feasible time and budget (Sedgwick, 2014).</w:t>
            </w:r>
          </w:p>
        </w:tc>
      </w:tr>
      <w:tr>
        <w:tc>
          <w:tcPr>
            <w:tcW w:type="dxa" w:w="311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Why mixed-methods?</w:t>
            </w:r>
          </w:p>
        </w:tc>
        <w:tc>
          <w:tcPr>
            <w:tcW w:type="dxa" w:w="6236"/>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Quantitative ranking alone cannot explain why factors operate; qualitative expert insight cannot generalise. Sequential triangulation overcomes both gaps (Creswell &amp; Plano Clark, 2017).</w:t>
            </w:r>
          </w:p>
        </w:tc>
      </w:tr>
      <w:tr>
        <w:tc>
          <w:tcPr>
            <w:tcW w:type="dxa" w:w="311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Why fuzzy MCDM?</w:t>
            </w:r>
          </w:p>
        </w:tc>
        <w:tc>
          <w:tcPr>
            <w:tcW w:type="dxa" w:w="6236"/>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Stakeholder judgements about supply-chain inefficiency are inherently linguistic and uncertain; fuzzy logic preserves this nuance (Zadeh, 1965; Kahraman et al., 2003).</w:t>
            </w:r>
          </w:p>
        </w:tc>
      </w:tr>
      <w:tr>
        <w:tc>
          <w:tcPr>
            <w:tcW w:type="dxa" w:w="311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Why two MCDM tools (AHP + ELECTRE)?</w:t>
            </w:r>
          </w:p>
        </w:tc>
        <w:tc>
          <w:tcPr>
            <w:tcW w:type="dxa" w:w="6236"/>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AHP yields weights; ELECTRE yields outranking-based rankings. Combining them generates both criterion importance and alternative prioritisation (Roy, 1991; Hatami-Marbini &amp; Tavana, 2011).</w:t>
            </w:r>
          </w:p>
        </w:tc>
      </w:tr>
    </w:tbl>
    <w:p>
      <w:pPr>
        <w:spacing w:after="200"/>
        <w:jc w:val="left"/>
      </w:pPr>
      <w:r>
        <w:rPr>
          <w:rFonts w:ascii="Times New Roman" w:hAnsi="Times New Roman"/>
          <w:i/>
          <w:sz w:val="20"/>
        </w:rPr>
        <w:t>Source: Author's compilation.</w:t>
      </w:r>
    </w:p>
    <w:p>
      <w:pPr>
        <w:spacing w:after="120" w:line="360" w:lineRule="auto"/>
        <w:jc w:val="both"/>
      </w:pPr>
      <w:r>
        <w:rPr>
          <w:rFonts w:ascii="Times New Roman" w:hAnsi="Times New Roman"/>
          <w:sz w:val="24"/>
        </w:rPr>
        <w:t>Figure 3.1 (provided in the thesis) presents the methodological flow visually: Preliminary Literature -&gt; Problem Definition &amp; Theoretical Framework -&gt; Selection of Methods (Survey + Interview) -&gt; Parallel pipelines for survey-based factor ranking (sampling -&gt; questionnaire -&gt; pilot -&gt; administration -&gt; editing -&gt; ranking) and expert interviews (purposive sampling -&gt; semi-structured guide -&gt; Fuzzy ELECTRE / transcribed coding) -&gt; Convergence on factors driving distribution-channel inefficiency -&gt; Interpretation -&gt; Conclusions and recommendations.</w:t>
      </w:r>
    </w:p>
    <w:p>
      <w:pPr>
        <w:pStyle w:val="Heading1"/>
      </w:pPr>
      <w:r>
        <w:rPr>
          <w:rFonts w:ascii="Times New Roman" w:hAnsi="Times New Roman"/>
          <w:color w:val="1F3A5F"/>
          <w:sz w:val="32"/>
        </w:rPr>
        <w:t>3.3 Study Area Profile</w:t>
      </w:r>
    </w:p>
    <w:p>
      <w:pPr>
        <w:pStyle w:val="Heading2"/>
      </w:pPr>
      <w:r>
        <w:rPr>
          <w:rFonts w:ascii="Times New Roman" w:hAnsi="Times New Roman"/>
          <w:color w:val="1F3A5F"/>
          <w:sz w:val="26"/>
        </w:rPr>
        <w:t>3.3.1 Geographical Characteristics of the Garhwal Region</w:t>
      </w:r>
    </w:p>
    <w:p>
      <w:pPr>
        <w:spacing w:after="120" w:line="360" w:lineRule="auto"/>
        <w:jc w:val="both"/>
      </w:pPr>
      <w:r>
        <w:rPr>
          <w:rFonts w:ascii="Times New Roman" w:hAnsi="Times New Roman"/>
          <w:sz w:val="24"/>
        </w:rPr>
        <w:t>The Garhwal region constitutes the western half of the state of Uttarakhand in the Indian Himalayas, lying approximately between 29°26'-31°28' N latitude and 77°34'-80°06' E longitude (Government of Uttarakhand, 2022). It encompasses seven administrative districts; this study focuses on the four districts in which Malta is cultivated commercially: Pauri Garhwal, Tehri Garhwal, Chamoli, and Rudraprayag. Elevation ranges from ~600 m to over 3,000 m AMSL. Malta thrives in the mid-hill belt of 800-1,800 m, where temperatures range from 10 °C (winter) to 32 °C (summer) and annual rainfall is 1,000-2,200 mm (ICAR-CITH, 2021).</w:t>
      </w:r>
    </w:p>
    <w:p>
      <w:pPr>
        <w:pStyle w:val="Heading2"/>
      </w:pPr>
      <w:r>
        <w:rPr>
          <w:rFonts w:ascii="Times New Roman" w:hAnsi="Times New Roman"/>
          <w:color w:val="1F3A5F"/>
          <w:sz w:val="26"/>
        </w:rPr>
        <w:t>3.3.2 Demographic Profile</w:t>
      </w:r>
    </w:p>
    <w:p>
      <w:pPr>
        <w:spacing w:after="120" w:line="360" w:lineRule="auto"/>
        <w:jc w:val="both"/>
      </w:pPr>
      <w:r>
        <w:rPr>
          <w:rFonts w:ascii="Times New Roman" w:hAnsi="Times New Roman"/>
          <w:sz w:val="24"/>
        </w:rPr>
        <w:t>According to the Census of India (2011) projected to 2023, the four study districts together house ~3.2 million people, of whom over 70% reside in rural areas and depend on agriculture and horticulture for livelihood (Directorate of Economics &amp; Statistics, Uttarakhand, 2022).</w:t>
      </w:r>
    </w:p>
    <w:p>
      <w:pPr>
        <w:pStyle w:val="Heading2"/>
      </w:pPr>
      <w:r>
        <w:rPr>
          <w:rFonts w:ascii="Times New Roman" w:hAnsi="Times New Roman"/>
          <w:color w:val="1F3A5F"/>
          <w:sz w:val="26"/>
        </w:rPr>
        <w:t>3.3.3 Agricultural and Horticultural Profile</w:t>
      </w:r>
    </w:p>
    <w:p>
      <w:pPr>
        <w:spacing w:after="120" w:line="360" w:lineRule="auto"/>
        <w:jc w:val="both"/>
      </w:pPr>
      <w:r>
        <w:rPr>
          <w:rFonts w:ascii="Times New Roman" w:hAnsi="Times New Roman"/>
          <w:sz w:val="24"/>
        </w:rPr>
        <w:t>Uttarakhand contributes approximately 38,000 metric tonnes of Malta annually, with Garhwal accounting for ~62% of state production (NHB, 2023). The crop is grown predominantly on small and marginal holdings (&lt;1 ha), using rain-fed cultivation with limited mechanisation (Pant et al., 2020).</w:t>
      </w:r>
    </w:p>
    <w:p>
      <w:pPr>
        <w:pStyle w:val="Heading2"/>
      </w:pPr>
      <w:r>
        <w:rPr>
          <w:rFonts w:ascii="Times New Roman" w:hAnsi="Times New Roman"/>
          <w:color w:val="1F3A5F"/>
          <w:sz w:val="26"/>
        </w:rPr>
        <w:t>3.3.4 Malta (Citrus sinensis) Cultivation in the Region</w:t>
      </w:r>
    </w:p>
    <w:p>
      <w:pPr>
        <w:spacing w:after="120" w:line="360" w:lineRule="auto"/>
        <w:jc w:val="both"/>
      </w:pPr>
      <w:r>
        <w:rPr>
          <w:rFonts w:ascii="Times New Roman" w:hAnsi="Times New Roman"/>
          <w:sz w:val="24"/>
        </w:rPr>
        <w:t>Malta was introduced to Garhwal in the early 20th century and is today a socio-economically strategic horticultural crop for hill farmers (Kumar et al., 2019). Two principal varieties dominate: Sweet Malta and Jaffa Malta. The fruit is harvested between November and February, has a short shelf-life of 7-14 days under ambient conditions, and depends on a fragile, multi-tier distribution channel (Singh &amp; Bhatt, 2018).</w:t>
      </w:r>
    </w:p>
    <w:p>
      <w:pPr>
        <w:pStyle w:val="Heading2"/>
      </w:pPr>
      <w:r>
        <w:rPr>
          <w:rFonts w:ascii="Times New Roman" w:hAnsi="Times New Roman"/>
          <w:color w:val="1F3A5F"/>
          <w:sz w:val="26"/>
        </w:rPr>
        <w:t>3.3.5 Marketing Infrastructure</w:t>
      </w:r>
    </w:p>
    <w:p>
      <w:pPr>
        <w:spacing w:after="120" w:line="360" w:lineRule="auto"/>
        <w:jc w:val="both"/>
      </w:pPr>
      <w:r>
        <w:rPr>
          <w:rFonts w:ascii="Times New Roman" w:hAnsi="Times New Roman"/>
          <w:sz w:val="24"/>
        </w:rPr>
        <w:t>The principal regulated mandis serving Malta are at Srinagar (Pauri), New Tehri, Gopeshwar, and Rudraprayag, supplemented by smaller collection centres. Channel members include farmers, village traders, commission agents, wholesalers, retailers, and transporters. Cold-storage capacity for citrus in Garhwal is reported to be less than 5% of seasonal arrivals (HAPPRC, 2021), which underscores the practical importance of optimising the distribution channel.</w:t>
      </w:r>
    </w:p>
    <w:p>
      <w:pPr>
        <w:spacing w:before="120" w:after="40"/>
        <w:jc w:val="center"/>
      </w:pPr>
      <w:r>
        <w:rPr>
          <w:rFonts w:ascii="Times New Roman" w:hAnsi="Times New Roman"/>
          <w:b/>
          <w:i/>
          <w:sz w:val="22"/>
        </w:rPr>
        <w:t>Table 3.1  Selected Profile of the Four Study Districts</w:t>
      </w:r>
    </w:p>
    <w:tbl>
      <w:tblPr>
        <w:tblW w:type="auto" w:w="0"/>
        <w:jc w:val="center"/>
        <w:tblLayout w:type="fixed"/>
        <w:tblLook w:firstColumn="1" w:firstRow="1" w:lastColumn="0" w:lastRow="0" w:noHBand="0" w:noVBand="1" w:val="04A0"/>
      </w:tblPr>
      <w:tblGrid>
        <w:gridCol w:w="1824"/>
        <w:gridCol w:w="1824"/>
        <w:gridCol w:w="1824"/>
        <w:gridCol w:w="1824"/>
        <w:gridCol w:w="1824"/>
      </w:tblGrid>
      <w:tr>
        <w:tc>
          <w:tcPr>
            <w:tcW w:type="dxa" w:w="1701"/>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District</w:t>
            </w:r>
          </w:p>
        </w:tc>
        <w:tc>
          <w:tcPr>
            <w:tcW w:type="dxa" w:w="1984"/>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Geographical Area (km²)</w:t>
            </w:r>
          </w:p>
        </w:tc>
        <w:tc>
          <w:tcPr>
            <w:tcW w:type="dxa" w:w="1984"/>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Mid-hill Malta belt</w:t>
            </w:r>
          </w:p>
        </w:tc>
        <w:tc>
          <w:tcPr>
            <w:tcW w:type="dxa" w:w="1701"/>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Principal Mandi</w:t>
            </w:r>
          </w:p>
        </w:tc>
        <w:tc>
          <w:tcPr>
            <w:tcW w:type="dxa" w:w="1984"/>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Estimated Malta Output (MT, 2022-23)</w:t>
            </w:r>
          </w:p>
        </w:tc>
      </w:tr>
      <w:tr>
        <w:tc>
          <w:tcPr>
            <w:tcW w:type="dxa" w:w="170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Pauri Garhwal</w:t>
            </w:r>
          </w:p>
        </w:tc>
        <w:tc>
          <w:tcPr>
            <w:tcW w:type="dxa" w:w="198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5,329</w:t>
            </w:r>
          </w:p>
        </w:tc>
        <w:tc>
          <w:tcPr>
            <w:tcW w:type="dxa" w:w="1984"/>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900-1,700 m</w:t>
            </w:r>
          </w:p>
        </w:tc>
        <w:tc>
          <w:tcPr>
            <w:tcW w:type="dxa" w:w="170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Srinagar</w:t>
            </w:r>
          </w:p>
        </w:tc>
        <w:tc>
          <w:tcPr>
            <w:tcW w:type="dxa" w:w="1984"/>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~7,800</w:t>
            </w:r>
          </w:p>
        </w:tc>
      </w:tr>
      <w:tr>
        <w:tc>
          <w:tcPr>
            <w:tcW w:type="dxa" w:w="170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Tehri Garhwal</w:t>
            </w:r>
          </w:p>
        </w:tc>
        <w:tc>
          <w:tcPr>
            <w:tcW w:type="dxa" w:w="198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3,642</w:t>
            </w:r>
          </w:p>
        </w:tc>
        <w:tc>
          <w:tcPr>
            <w:tcW w:type="dxa" w:w="1984"/>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1,000-1,800 m</w:t>
            </w:r>
          </w:p>
        </w:tc>
        <w:tc>
          <w:tcPr>
            <w:tcW w:type="dxa" w:w="170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New Tehri</w:t>
            </w:r>
          </w:p>
        </w:tc>
        <w:tc>
          <w:tcPr>
            <w:tcW w:type="dxa" w:w="1984"/>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~6,500</w:t>
            </w:r>
          </w:p>
        </w:tc>
      </w:tr>
      <w:tr>
        <w:tc>
          <w:tcPr>
            <w:tcW w:type="dxa" w:w="170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Chamoli</w:t>
            </w:r>
          </w:p>
        </w:tc>
        <w:tc>
          <w:tcPr>
            <w:tcW w:type="dxa" w:w="198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8,030</w:t>
            </w:r>
          </w:p>
        </w:tc>
        <w:tc>
          <w:tcPr>
            <w:tcW w:type="dxa" w:w="1984"/>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1,100-1,800 m</w:t>
            </w:r>
          </w:p>
        </w:tc>
        <w:tc>
          <w:tcPr>
            <w:tcW w:type="dxa" w:w="170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Gopeshwar</w:t>
            </w:r>
          </w:p>
        </w:tc>
        <w:tc>
          <w:tcPr>
            <w:tcW w:type="dxa" w:w="1984"/>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~5,400</w:t>
            </w:r>
          </w:p>
        </w:tc>
      </w:tr>
      <w:tr>
        <w:tc>
          <w:tcPr>
            <w:tcW w:type="dxa" w:w="170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Rudraprayag</w:t>
            </w:r>
          </w:p>
        </w:tc>
        <w:tc>
          <w:tcPr>
            <w:tcW w:type="dxa" w:w="198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1,984</w:t>
            </w:r>
          </w:p>
        </w:tc>
        <w:tc>
          <w:tcPr>
            <w:tcW w:type="dxa" w:w="1984"/>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1,000-1,700 m</w:t>
            </w:r>
          </w:p>
        </w:tc>
        <w:tc>
          <w:tcPr>
            <w:tcW w:type="dxa" w:w="170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Rudraprayag</w:t>
            </w:r>
          </w:p>
        </w:tc>
        <w:tc>
          <w:tcPr>
            <w:tcW w:type="dxa" w:w="1984"/>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~3,900</w:t>
            </w:r>
          </w:p>
        </w:tc>
      </w:tr>
    </w:tbl>
    <w:p>
      <w:pPr>
        <w:spacing w:after="200"/>
        <w:jc w:val="left"/>
      </w:pPr>
      <w:r>
        <w:rPr>
          <w:rFonts w:ascii="Times New Roman" w:hAnsi="Times New Roman"/>
          <w:i/>
          <w:sz w:val="20"/>
        </w:rPr>
        <w:t>Source: Compiled from NHB (2023); Directorate of Horticulture, Uttarakhand (2022); HAPPRC (2021).</w:t>
      </w:r>
    </w:p>
    <w:p>
      <w:pPr>
        <w:pStyle w:val="Heading1"/>
      </w:pPr>
      <w:r>
        <w:rPr>
          <w:rFonts w:ascii="Times New Roman" w:hAnsi="Times New Roman"/>
          <w:color w:val="1F3A5F"/>
          <w:sz w:val="32"/>
        </w:rPr>
        <w:t>3.4 Sampling Design</w:t>
      </w:r>
    </w:p>
    <w:p>
      <w:pPr>
        <w:pStyle w:val="Heading2"/>
      </w:pPr>
      <w:r>
        <w:rPr>
          <w:rFonts w:ascii="Times New Roman" w:hAnsi="Times New Roman"/>
          <w:color w:val="1F3A5F"/>
          <w:sz w:val="26"/>
        </w:rPr>
        <w:t>3.4.1 Population Definition</w:t>
      </w:r>
    </w:p>
    <w:p>
      <w:pPr>
        <w:spacing w:after="120" w:line="360" w:lineRule="auto"/>
        <w:jc w:val="both"/>
      </w:pPr>
      <w:r>
        <w:rPr>
          <w:rFonts w:ascii="Times New Roman" w:hAnsi="Times New Roman"/>
          <w:sz w:val="24"/>
        </w:rPr>
        <w:t>The target population comprises all individuals participating in the Malta distribution channel in the four study districts of Garhwal, namely: (i) Malta growers/farmers; (ii) village traders / pre-harvest contractors; (iii) commission agents (arhatiyas); (iv) wholesalers operating in regulated mandis; (v) retailers (mandi-tied and non-mandi); (vi) transporters; and (vii) horticulture officials and subject-matter experts (academic, KVK, and extension functionaries).</w:t>
      </w:r>
    </w:p>
    <w:p>
      <w:pPr>
        <w:pStyle w:val="Heading2"/>
      </w:pPr>
      <w:r>
        <w:rPr>
          <w:rFonts w:ascii="Times New Roman" w:hAnsi="Times New Roman"/>
          <w:color w:val="1F3A5F"/>
          <w:sz w:val="26"/>
        </w:rPr>
        <w:t>3.4.2 Sampling Technique</w:t>
      </w:r>
    </w:p>
    <w:p>
      <w:pPr>
        <w:spacing w:after="120" w:line="360" w:lineRule="auto"/>
        <w:jc w:val="both"/>
      </w:pPr>
      <w:r>
        <w:rPr>
          <w:rFonts w:ascii="Times New Roman" w:hAnsi="Times New Roman"/>
          <w:sz w:val="24"/>
        </w:rPr>
        <w:t>A multi-stage, stratified random sampling design with a complementary purposive component for experts was used (Cochran, 1977; Etikan et al., 2016).</w:t>
      </w:r>
    </w:p>
    <w:p>
      <w:pPr>
        <w:pStyle w:val="ListBullet"/>
        <w:spacing w:after="80" w:line="360" w:lineRule="auto"/>
        <w:jc w:val="both"/>
      </w:pPr>
      <w:r>
        <w:rPr>
          <w:rFonts w:ascii="Times New Roman" w:hAnsi="Times New Roman"/>
          <w:sz w:val="24"/>
        </w:rPr>
        <w:t>Stage 1 - District selection (purposive): the four Garhwal districts with significant Malta cultivation.</w:t>
      </w:r>
    </w:p>
    <w:p>
      <w:pPr>
        <w:pStyle w:val="ListBullet"/>
        <w:spacing w:after="80" w:line="360" w:lineRule="auto"/>
        <w:jc w:val="both"/>
      </w:pPr>
      <w:r>
        <w:rPr>
          <w:rFonts w:ascii="Times New Roman" w:hAnsi="Times New Roman"/>
          <w:sz w:val="24"/>
        </w:rPr>
        <w:t>Stage 2 - Block/Village selection (stratified random): within each district, blocks were stratified by elevation belt and three blocks per district were drawn at random. Two Malta-growing villages per block were then selected probability-proportional-to-size (PPS) on the basis of the number of Malta-cultivating households.</w:t>
      </w:r>
    </w:p>
    <w:p>
      <w:pPr>
        <w:pStyle w:val="ListBullet"/>
        <w:spacing w:after="80" w:line="360" w:lineRule="auto"/>
        <w:jc w:val="both"/>
      </w:pPr>
      <w:r>
        <w:rPr>
          <w:rFonts w:ascii="Times New Roman" w:hAnsi="Times New Roman"/>
          <w:sz w:val="24"/>
        </w:rPr>
        <w:t>Stage 3 - Respondent selection within each village/mandi (simple random): farmers from village rosters; traders, agents, wholesalers, retailers, and transporters from mandi registration lists.</w:t>
      </w:r>
    </w:p>
    <w:p>
      <w:pPr>
        <w:pStyle w:val="ListBullet"/>
        <w:spacing w:after="80" w:line="360" w:lineRule="auto"/>
        <w:jc w:val="both"/>
      </w:pPr>
      <w:r>
        <w:rPr>
          <w:rFonts w:ascii="Times New Roman" w:hAnsi="Times New Roman"/>
          <w:sz w:val="24"/>
        </w:rPr>
        <w:t>Expert sub-sample (purposive): selected on the basis of (a) &gt;= 10 years' Malta-related experience, (b) institutional affiliation (KVK, Directorate of Horticulture, GBPUA&amp;T, HAPPRC), and (c) willingness to participate (Patton, 2015).</w:t>
      </w:r>
    </w:p>
    <w:p>
      <w:pPr>
        <w:pStyle w:val="Heading2"/>
      </w:pPr>
      <w:r>
        <w:rPr>
          <w:rFonts w:ascii="Times New Roman" w:hAnsi="Times New Roman"/>
          <w:color w:val="1F3A5F"/>
          <w:sz w:val="26"/>
        </w:rPr>
        <w:t>3.4.3 Sample-Size Determination</w:t>
      </w:r>
    </w:p>
    <w:p>
      <w:pPr>
        <w:spacing w:after="120" w:line="360" w:lineRule="auto"/>
        <w:jc w:val="both"/>
      </w:pPr>
      <w:r>
        <w:rPr>
          <w:rFonts w:ascii="Times New Roman" w:hAnsi="Times New Roman"/>
          <w:sz w:val="24"/>
        </w:rPr>
        <w:t>For the survey strand, sample size was computed using Cochran's (1977) formula for a large/unknown population:</w:t>
      </w:r>
    </w:p>
    <w:p>
      <w:pPr>
        <w:jc w:val="center"/>
      </w:pPr>
      <w:r>
        <w:rPr>
          <w:rFonts w:ascii="Cambria Math" w:hAnsi="Cambria Math"/>
          <w:i/>
          <w:sz w:val="26"/>
        </w:rPr>
        <w:t>n0 = (z² × p × q) / e²</w:t>
      </w:r>
    </w:p>
    <w:p>
      <w:pPr>
        <w:spacing w:after="120" w:line="360" w:lineRule="auto"/>
        <w:jc w:val="both"/>
      </w:pPr>
      <w:r>
        <w:rPr>
          <w:rFonts w:ascii="Times New Roman" w:hAnsi="Times New Roman"/>
          <w:sz w:val="24"/>
        </w:rPr>
        <w:t>with z = 1.96 (95% CI), p = 0.5 (most-conservative variance), q = 1 - p = 0.5, and e = 0.04 (4% margin), yielding n0 ≈ 600. Because seven heterogeneous stakeholder strata were sampled, the figure was inflated to n = 1,300 to ensure adequate cell sizes for stratum-wise reliability and PCA, and to satisfy the "10 respondents per measured item" rule of thumb for factor analysis (Hair et al., 2019). The achieved sample of N = 1,300 valid responses therefore exceeds the minimum required for both inferential statistics and the application of Fuzzy AHP/Fuzzy ELECTRE.</w:t>
      </w:r>
    </w:p>
    <w:p>
      <w:pPr>
        <w:pStyle w:val="Heading2"/>
      </w:pPr>
      <w:r>
        <w:rPr>
          <w:rFonts w:ascii="Times New Roman" w:hAnsi="Times New Roman"/>
          <w:color w:val="1F3A5F"/>
          <w:sz w:val="26"/>
        </w:rPr>
        <w:t>3.4.4 Selection of Districts/Blocks/Villages</w:t>
      </w:r>
    </w:p>
    <w:p>
      <w:pPr>
        <w:spacing w:after="120" w:line="360" w:lineRule="auto"/>
        <w:jc w:val="both"/>
      </w:pPr>
      <w:r>
        <w:rPr>
          <w:rFonts w:ascii="Times New Roman" w:hAnsi="Times New Roman"/>
          <w:sz w:val="24"/>
        </w:rPr>
        <w:t>Twelve blocks (3 per district), 24 villages, and four major mandis were finally surveyed. Expert interviews were conducted across all four districts plus an additional set with state-level officials and academic experts.</w:t>
      </w:r>
    </w:p>
    <w:p>
      <w:pPr>
        <w:pStyle w:val="Heading2"/>
      </w:pPr>
      <w:r>
        <w:rPr>
          <w:rFonts w:ascii="Times New Roman" w:hAnsi="Times New Roman"/>
          <w:color w:val="1F3A5F"/>
          <w:sz w:val="26"/>
        </w:rPr>
        <w:t>3.4.5 Achieved Sample Distribution</w:t>
      </w:r>
    </w:p>
    <w:p>
      <w:pPr>
        <w:spacing w:before="120" w:after="40"/>
        <w:jc w:val="center"/>
      </w:pPr>
      <w:r>
        <w:rPr>
          <w:rFonts w:ascii="Times New Roman" w:hAnsi="Times New Roman"/>
          <w:b/>
          <w:i/>
          <w:sz w:val="22"/>
        </w:rPr>
        <w:t>Table 3.2  Distribution of Respondents by Stakeholder Category and District (N = 1,300)</w:t>
      </w:r>
    </w:p>
    <w:tbl>
      <w:tblPr>
        <w:tblW w:type="auto" w:w="0"/>
        <w:jc w:val="center"/>
        <w:tblLayout w:type="fixed"/>
        <w:tblLook w:firstColumn="1" w:firstRow="1" w:lastColumn="0" w:lastRow="0" w:noHBand="0" w:noVBand="1" w:val="04A0"/>
      </w:tblPr>
      <w:tblGrid>
        <w:gridCol w:w="1520"/>
        <w:gridCol w:w="1520"/>
        <w:gridCol w:w="1520"/>
        <w:gridCol w:w="1520"/>
        <w:gridCol w:w="1520"/>
        <w:gridCol w:w="1520"/>
      </w:tblGrid>
      <w:tr>
        <w:tc>
          <w:tcPr>
            <w:tcW w:type="dxa" w:w="2268"/>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Stakeholder Category</w:t>
            </w:r>
          </w:p>
        </w:tc>
        <w:tc>
          <w:tcPr>
            <w:tcW w:type="dxa" w:w="1474"/>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Pauri Garhwal</w:t>
            </w:r>
          </w:p>
        </w:tc>
        <w:tc>
          <w:tcPr>
            <w:tcW w:type="dxa" w:w="1474"/>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Tehri Garhwal</w:t>
            </w:r>
          </w:p>
        </w:tc>
        <w:tc>
          <w:tcPr>
            <w:tcW w:type="dxa" w:w="1361"/>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Chamoli</w:t>
            </w:r>
          </w:p>
        </w:tc>
        <w:tc>
          <w:tcPr>
            <w:tcW w:type="dxa" w:w="1474"/>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Rudraprayag</w:t>
            </w:r>
          </w:p>
        </w:tc>
        <w:tc>
          <w:tcPr>
            <w:tcW w:type="dxa" w:w="1134"/>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Total</w:t>
            </w:r>
          </w:p>
        </w:tc>
      </w:tr>
      <w:tr>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Farmers / Growers</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152</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166</w:t>
            </w:r>
          </w:p>
        </w:tc>
        <w:tc>
          <w:tcPr>
            <w:tcW w:type="dxa" w:w="136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167</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165</w:t>
            </w:r>
          </w:p>
        </w:tc>
        <w:tc>
          <w:tcPr>
            <w:tcW w:type="dxa" w:w="113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650</w:t>
            </w:r>
          </w:p>
        </w:tc>
      </w:tr>
      <w:tr>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Village Traders</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25</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34</w:t>
            </w:r>
          </w:p>
        </w:tc>
        <w:tc>
          <w:tcPr>
            <w:tcW w:type="dxa" w:w="136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36</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22</w:t>
            </w:r>
          </w:p>
        </w:tc>
        <w:tc>
          <w:tcPr>
            <w:tcW w:type="dxa" w:w="113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117</w:t>
            </w:r>
          </w:p>
        </w:tc>
      </w:tr>
      <w:tr>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Commission Agents</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15</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18</w:t>
            </w:r>
          </w:p>
        </w:tc>
        <w:tc>
          <w:tcPr>
            <w:tcW w:type="dxa" w:w="136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24</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21</w:t>
            </w:r>
          </w:p>
        </w:tc>
        <w:tc>
          <w:tcPr>
            <w:tcW w:type="dxa" w:w="113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78</w:t>
            </w:r>
          </w:p>
        </w:tc>
      </w:tr>
      <w:tr>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Wholesalers (Mandi)</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34</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29</w:t>
            </w:r>
          </w:p>
        </w:tc>
        <w:tc>
          <w:tcPr>
            <w:tcW w:type="dxa" w:w="136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39</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28</w:t>
            </w:r>
          </w:p>
        </w:tc>
        <w:tc>
          <w:tcPr>
            <w:tcW w:type="dxa" w:w="113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130</w:t>
            </w:r>
          </w:p>
        </w:tc>
      </w:tr>
      <w:tr>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Retailers</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29</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30</w:t>
            </w:r>
          </w:p>
        </w:tc>
        <w:tc>
          <w:tcPr>
            <w:tcW w:type="dxa" w:w="136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34</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37</w:t>
            </w:r>
          </w:p>
        </w:tc>
        <w:tc>
          <w:tcPr>
            <w:tcW w:type="dxa" w:w="113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130</w:t>
            </w:r>
          </w:p>
        </w:tc>
      </w:tr>
      <w:tr>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Transporters</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34</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41</w:t>
            </w:r>
          </w:p>
        </w:tc>
        <w:tc>
          <w:tcPr>
            <w:tcW w:type="dxa" w:w="136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21</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34</w:t>
            </w:r>
          </w:p>
        </w:tc>
        <w:tc>
          <w:tcPr>
            <w:tcW w:type="dxa" w:w="113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130</w:t>
            </w:r>
          </w:p>
        </w:tc>
      </w:tr>
      <w:tr>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Experts / Officials</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22</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15</w:t>
            </w:r>
          </w:p>
        </w:tc>
        <w:tc>
          <w:tcPr>
            <w:tcW w:type="dxa" w:w="136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19</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9</w:t>
            </w:r>
          </w:p>
        </w:tc>
        <w:tc>
          <w:tcPr>
            <w:tcW w:type="dxa" w:w="113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65</w:t>
            </w:r>
          </w:p>
        </w:tc>
      </w:tr>
      <w:tr>
        <w:tc>
          <w:tcPr>
            <w:tcW w:type="dxa" w:w="2268"/>
            <w:tcBorders>
              <w:top w:val="single" w:sz="4" w:color="000000"/>
              <w:left w:val="single" w:sz="4" w:color="000000"/>
              <w:bottom w:val="single" w:sz="4" w:color="000000"/>
              <w:right w:val="single" w:sz="4" w:color="000000"/>
            </w:tcBorders>
            <w:vAlign w:val="center"/>
            <w:shd w:val="clear" w:color="auto" w:fill="F2F2F2"/>
          </w:tcPr>
          <w:p>
            <w:pPr>
              <w:jc w:val="left"/>
            </w:pPr>
            <w:r/>
            <w:r>
              <w:rPr>
                <w:rFonts w:ascii="Times New Roman" w:hAnsi="Times New Roman"/>
                <w:b/>
                <w:sz w:val="20"/>
              </w:rPr>
              <w:t>Total</w:t>
            </w:r>
          </w:p>
        </w:tc>
        <w:tc>
          <w:tcPr>
            <w:tcW w:type="dxa" w:w="1474"/>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311</w:t>
            </w:r>
          </w:p>
        </w:tc>
        <w:tc>
          <w:tcPr>
            <w:tcW w:type="dxa" w:w="1474"/>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333</w:t>
            </w:r>
          </w:p>
        </w:tc>
        <w:tc>
          <w:tcPr>
            <w:tcW w:type="dxa" w:w="1361"/>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340</w:t>
            </w:r>
          </w:p>
        </w:tc>
        <w:tc>
          <w:tcPr>
            <w:tcW w:type="dxa" w:w="1474"/>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316</w:t>
            </w:r>
          </w:p>
        </w:tc>
        <w:tc>
          <w:tcPr>
            <w:tcW w:type="dxa" w:w="1134"/>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1,300</w:t>
            </w:r>
          </w:p>
        </w:tc>
      </w:tr>
    </w:tbl>
    <w:p>
      <w:pPr>
        <w:spacing w:after="200"/>
        <w:jc w:val="left"/>
      </w:pPr>
      <w:r>
        <w:rPr>
          <w:rFonts w:ascii="Times New Roman" w:hAnsi="Times New Roman"/>
          <w:i/>
          <w:sz w:val="20"/>
        </w:rPr>
        <w:t>Source: Field survey (2023-24).</w:t>
      </w:r>
    </w:p>
    <w:p>
      <w:pPr>
        <w:spacing w:after="120" w:line="360" w:lineRule="auto"/>
        <w:jc w:val="both"/>
      </w:pPr>
      <w:r>
        <w:rPr>
          <w:rFonts w:ascii="Times New Roman" w:hAnsi="Times New Roman"/>
          <w:sz w:val="24"/>
        </w:rPr>
        <w:t>The dominant share of farmers (50%) reflects their numerical preponderance in the Malta value chain, while the remaining 50% covers the downstream channel members and experts whose perceptions are essential for an end-to-end optimisation analysis.</w:t>
      </w:r>
    </w:p>
    <w:p>
      <w:pPr>
        <w:pStyle w:val="Heading1"/>
      </w:pPr>
      <w:r>
        <w:rPr>
          <w:rFonts w:ascii="Times New Roman" w:hAnsi="Times New Roman"/>
          <w:color w:val="1F3A5F"/>
          <w:sz w:val="32"/>
        </w:rPr>
        <w:t>3.5 Data Collection</w:t>
      </w:r>
    </w:p>
    <w:p>
      <w:pPr>
        <w:pStyle w:val="Heading2"/>
      </w:pPr>
      <w:r>
        <w:rPr>
          <w:rFonts w:ascii="Times New Roman" w:hAnsi="Times New Roman"/>
          <w:color w:val="1F3A5F"/>
          <w:sz w:val="26"/>
        </w:rPr>
        <w:t>3.5.1 Sources of Data</w:t>
      </w:r>
    </w:p>
    <w:p>
      <w:pPr>
        <w:pStyle w:val="ListBullet"/>
        <w:spacing w:after="80" w:line="360" w:lineRule="auto"/>
        <w:jc w:val="both"/>
      </w:pPr>
      <w:r>
        <w:rPr>
          <w:rFonts w:ascii="Times New Roman" w:hAnsi="Times New Roman"/>
          <w:sz w:val="24"/>
        </w:rPr>
        <w:t>Primary data: structured questionnaire administered to 1,235 channel-member respondents and semi-structured interview schedule administered to 65 experts/officials.</w:t>
      </w:r>
    </w:p>
    <w:p>
      <w:pPr>
        <w:pStyle w:val="ListBullet"/>
        <w:spacing w:after="80" w:line="360" w:lineRule="auto"/>
        <w:jc w:val="both"/>
      </w:pPr>
      <w:r>
        <w:rPr>
          <w:rFonts w:ascii="Times New Roman" w:hAnsi="Times New Roman"/>
          <w:sz w:val="24"/>
        </w:rPr>
        <w:t>Secondary data: publications of the National Horticulture Board (NHB), the Directorate of Horticulture (Uttarakhand), ICAR-CITH (Lucknow), HAPPRC (Srinagar Garhwal), the Census of India, peer-reviewed journals, and theses retrieved from Shodhganga.</w:t>
      </w:r>
    </w:p>
    <w:p>
      <w:pPr>
        <w:pStyle w:val="Heading2"/>
      </w:pPr>
      <w:r>
        <w:rPr>
          <w:rFonts w:ascii="Times New Roman" w:hAnsi="Times New Roman"/>
          <w:color w:val="1F3A5F"/>
          <w:sz w:val="26"/>
        </w:rPr>
        <w:t>3.5.2 Survey Instrument Design</w:t>
      </w:r>
    </w:p>
    <w:p>
      <w:pPr>
        <w:spacing w:after="120" w:line="360" w:lineRule="auto"/>
        <w:jc w:val="both"/>
      </w:pPr>
      <w:r>
        <w:rPr>
          <w:rFonts w:ascii="Times New Roman" w:hAnsi="Times New Roman"/>
          <w:sz w:val="24"/>
        </w:rPr>
        <w:t>The questionnaire (see Appendix-I, Malta-Distribution-Survey, in the project repository) was developed in five iterative steps:</w:t>
      </w:r>
    </w:p>
    <w:p>
      <w:pPr>
        <w:spacing w:after="80" w:line="360" w:lineRule="auto"/>
        <w:jc w:val="both"/>
      </w:pPr>
      <w:r>
        <w:rPr>
          <w:rFonts w:ascii="Times New Roman" w:hAnsi="Times New Roman"/>
          <w:sz w:val="24"/>
        </w:rPr>
        <w:t>1. Item pool generation from a systematic review of supply-chain, agricultural-marketing, and citrus-distribution literature (e.g., Mentzer et al., 2001; Gunasekaran et al., 2004; Punjabi, 2009; Negi &amp; Anand, 2015; Chauhan &amp; Singh, 2018).</w:t>
      </w:r>
    </w:p>
    <w:p>
      <w:pPr>
        <w:spacing w:after="80" w:line="360" w:lineRule="auto"/>
        <w:jc w:val="both"/>
      </w:pPr>
      <w:r>
        <w:rPr>
          <w:rFonts w:ascii="Times New Roman" w:hAnsi="Times New Roman"/>
          <w:sz w:val="24"/>
        </w:rPr>
        <w:t>2. Field reconnaissance - eight unstructured field visits to Malta orchards, collection centres, and mandis, used to surface region-specific factors.</w:t>
      </w:r>
    </w:p>
    <w:p>
      <w:pPr>
        <w:spacing w:after="80" w:line="360" w:lineRule="auto"/>
        <w:jc w:val="both"/>
      </w:pPr>
      <w:r>
        <w:rPr>
          <w:rFonts w:ascii="Times New Roman" w:hAnsi="Times New Roman"/>
          <w:sz w:val="24"/>
        </w:rPr>
        <w:t>3. Expert pre-screening - six experts (academic + practitioner) reviewed item relevance and clarity (Lawshe, 1975).</w:t>
      </w:r>
    </w:p>
    <w:p>
      <w:pPr>
        <w:spacing w:after="80" w:line="360" w:lineRule="auto"/>
        <w:jc w:val="both"/>
      </w:pPr>
      <w:r>
        <w:rPr>
          <w:rFonts w:ascii="Times New Roman" w:hAnsi="Times New Roman"/>
          <w:sz w:val="24"/>
        </w:rPr>
        <w:t>4. Translation and back-translation between English and Hindi to ensure semantic equivalence (Brislin, 1970).</w:t>
      </w:r>
    </w:p>
    <w:p>
      <w:pPr>
        <w:spacing w:after="80" w:line="360" w:lineRule="auto"/>
        <w:jc w:val="both"/>
      </w:pPr>
      <w:r>
        <w:rPr>
          <w:rFonts w:ascii="Times New Roman" w:hAnsi="Times New Roman"/>
          <w:sz w:val="24"/>
        </w:rPr>
        <w:t>5. Pilot study (see Section 3.7).</w:t>
      </w:r>
    </w:p>
    <w:p>
      <w:pPr>
        <w:spacing w:after="120" w:line="360" w:lineRule="auto"/>
        <w:jc w:val="both"/>
      </w:pPr>
      <w:r>
        <w:rPr>
          <w:rFonts w:ascii="Times New Roman" w:hAnsi="Times New Roman"/>
          <w:sz w:val="24"/>
        </w:rPr>
        <w:t>The instrument is organised in five sections:</w:t>
      </w:r>
    </w:p>
    <w:p>
      <w:pPr>
        <w:pStyle w:val="ListBullet"/>
        <w:spacing w:after="80" w:line="360" w:lineRule="auto"/>
        <w:jc w:val="both"/>
      </w:pPr>
      <w:r>
        <w:rPr>
          <w:rFonts w:ascii="Times New Roman" w:hAnsi="Times New Roman"/>
          <w:sz w:val="24"/>
        </w:rPr>
        <w:t>Section A: Respondent profile.</w:t>
      </w:r>
    </w:p>
    <w:p>
      <w:pPr>
        <w:pStyle w:val="ListBullet"/>
        <w:spacing w:after="80" w:line="360" w:lineRule="auto"/>
        <w:jc w:val="both"/>
      </w:pPr>
      <w:r>
        <w:rPr>
          <w:rFonts w:ascii="Times New Roman" w:hAnsi="Times New Roman"/>
          <w:sz w:val="24"/>
        </w:rPr>
        <w:t>Section B: Stage-specific factor batteries (Farmer, Trader, Wholesaler/Mandi, Retailer, Transporter), each rated on Cost / Time / Quality dimensions on a 5-point Likert scale (1 = Not Significant, 5 = Highly Significant).</w:t>
      </w:r>
    </w:p>
    <w:p>
      <w:pPr>
        <w:pStyle w:val="ListBullet"/>
        <w:spacing w:after="80" w:line="360" w:lineRule="auto"/>
        <w:jc w:val="both"/>
      </w:pPr>
      <w:r>
        <w:rPr>
          <w:rFonts w:ascii="Times New Roman" w:hAnsi="Times New Roman"/>
          <w:sz w:val="24"/>
        </w:rPr>
        <w:t>Section C: Cross-stage coordination and external factors.</w:t>
      </w:r>
    </w:p>
    <w:p>
      <w:pPr>
        <w:pStyle w:val="ListBullet"/>
        <w:spacing w:after="80" w:line="360" w:lineRule="auto"/>
        <w:jc w:val="both"/>
      </w:pPr>
      <w:r>
        <w:rPr>
          <w:rFonts w:ascii="Times New Roman" w:hAnsi="Times New Roman"/>
          <w:sz w:val="24"/>
        </w:rPr>
        <w:t>Section D: Improvement-priority rankings.</w:t>
      </w:r>
    </w:p>
    <w:p>
      <w:pPr>
        <w:pStyle w:val="ListBullet"/>
        <w:spacing w:after="80" w:line="360" w:lineRule="auto"/>
        <w:jc w:val="both"/>
      </w:pPr>
      <w:r>
        <w:rPr>
          <w:rFonts w:ascii="Times New Roman" w:hAnsi="Times New Roman"/>
          <w:sz w:val="24"/>
        </w:rPr>
        <w:t>Section E: Variety, seasonality, and shelf-life questions.</w:t>
      </w:r>
    </w:p>
    <w:p>
      <w:pPr>
        <w:pStyle w:val="Heading2"/>
      </w:pPr>
      <w:r>
        <w:rPr>
          <w:rFonts w:ascii="Times New Roman" w:hAnsi="Times New Roman"/>
          <w:color w:val="1F3A5F"/>
          <w:sz w:val="26"/>
        </w:rPr>
        <w:t>3.5.3 Interview Schedule for Experts</w:t>
      </w:r>
    </w:p>
    <w:p>
      <w:pPr>
        <w:spacing w:after="120" w:line="360" w:lineRule="auto"/>
        <w:jc w:val="both"/>
      </w:pPr>
      <w:r>
        <w:rPr>
          <w:rFonts w:ascii="Times New Roman" w:hAnsi="Times New Roman"/>
          <w:sz w:val="24"/>
        </w:rPr>
        <w:t>A semi-structured interview guide with eleven open-ended prompts was used (Kvale &amp; Brinkmann, 2015). Themes covered policy, infrastructure, technology adoption, cooperative organisation, and recommended channel re-design.</w:t>
      </w:r>
    </w:p>
    <w:p>
      <w:pPr>
        <w:pStyle w:val="Heading2"/>
      </w:pPr>
      <w:r>
        <w:rPr>
          <w:rFonts w:ascii="Times New Roman" w:hAnsi="Times New Roman"/>
          <w:color w:val="1F3A5F"/>
          <w:sz w:val="26"/>
        </w:rPr>
        <w:t>3.5.4 Field Procedure</w:t>
      </w:r>
    </w:p>
    <w:p>
      <w:pPr>
        <w:spacing w:after="120" w:line="360" w:lineRule="auto"/>
        <w:jc w:val="both"/>
      </w:pPr>
      <w:r>
        <w:rPr>
          <w:rFonts w:ascii="Times New Roman" w:hAnsi="Times New Roman"/>
          <w:sz w:val="24"/>
        </w:rPr>
        <w:t>Data were collected face-to-face by the researcher and two trained field assistants between October 2023 and February 2024. Each interview lasted 25-40 minutes (survey) or 60-90 minutes (expert). Responses were entered into a spreadsheet on the same day and quality-checked weekly.</w:t>
      </w:r>
    </w:p>
    <w:p>
      <w:pPr>
        <w:pStyle w:val="Heading2"/>
      </w:pPr>
      <w:r>
        <w:rPr>
          <w:rFonts w:ascii="Times New Roman" w:hAnsi="Times New Roman"/>
          <w:color w:val="1F3A5F"/>
          <w:sz w:val="26"/>
        </w:rPr>
        <w:t>3.5.5 Data Editing, Coding, and Cleaning</w:t>
      </w:r>
    </w:p>
    <w:p>
      <w:pPr>
        <w:spacing w:after="120" w:line="360" w:lineRule="auto"/>
        <w:jc w:val="both"/>
      </w:pPr>
      <w:r>
        <w:rPr>
          <w:rFonts w:ascii="Times New Roman" w:hAnsi="Times New Roman"/>
          <w:sz w:val="24"/>
        </w:rPr>
        <w:t>All instruments were edited for completeness; cases with &gt; 10% missing items were discarded (Hair et al., 2019). Remaining missing values were imputed by series mean within stakeholder stratum. The cleaned dataset (Malta_.xlsx, sheet Data_for_jamovi) contains 1,300 cases × 82 factor items plus six demographic variables.</w:t>
      </w:r>
    </w:p>
    <w:p>
      <w:pPr>
        <w:pStyle w:val="Heading1"/>
      </w:pPr>
      <w:r>
        <w:rPr>
          <w:rFonts w:ascii="Times New Roman" w:hAnsi="Times New Roman"/>
          <w:color w:val="1F3A5F"/>
          <w:sz w:val="32"/>
        </w:rPr>
        <w:t>3.6 Identification and Refinement of Factors: From 144 to 82</w:t>
      </w:r>
    </w:p>
    <w:p>
      <w:pPr>
        <w:spacing w:after="120" w:line="360" w:lineRule="auto"/>
        <w:jc w:val="both"/>
      </w:pPr>
      <w:r>
        <w:rPr>
          <w:rFonts w:ascii="Times New Roman" w:hAnsi="Times New Roman"/>
          <w:sz w:val="24"/>
        </w:rPr>
        <w:t>A defining feature of this study is the systematic distillation of 144 candidate factors into 82 statistically validated factors. The funnelling logic is summarised in Figure 3.2.</w:t>
      </w:r>
    </w:p>
    <w:p>
      <w:pPr>
        <w:pStyle w:val="Heading2"/>
      </w:pPr>
      <w:r>
        <w:rPr>
          <w:rFonts w:ascii="Times New Roman" w:hAnsi="Times New Roman"/>
          <w:color w:val="1F3A5F"/>
          <w:sz w:val="26"/>
        </w:rPr>
        <w:t>3.6.1 Stage 1 - Generation of the Initial Pool (144 Items)</w:t>
      </w:r>
    </w:p>
    <w:p>
      <w:pPr>
        <w:spacing w:after="120" w:line="360" w:lineRule="auto"/>
        <w:jc w:val="both"/>
      </w:pPr>
      <w:r>
        <w:rPr>
          <w:rFonts w:ascii="Times New Roman" w:hAnsi="Times New Roman"/>
          <w:sz w:val="24"/>
        </w:rPr>
        <w:t>The initial inventory was assembled from three converging sources:</w:t>
      </w:r>
    </w:p>
    <w:p>
      <w:pPr>
        <w:spacing w:before="120" w:after="40"/>
        <w:jc w:val="center"/>
      </w:pPr>
      <w:r>
        <w:rPr>
          <w:rFonts w:ascii="Times New Roman" w:hAnsi="Times New Roman"/>
          <w:b/>
          <w:i/>
          <w:sz w:val="22"/>
        </w:rPr>
        <w:t>Table 3.A  Sources of the 144-Item Initial Factor Pool</w:t>
      </w:r>
    </w:p>
    <w:tbl>
      <w:tblPr>
        <w:tblW w:type="auto" w:w="0"/>
        <w:jc w:val="center"/>
        <w:tblLayout w:type="fixed"/>
        <w:tblLook w:firstColumn="1" w:firstRow="1" w:lastColumn="0" w:lastRow="0" w:noHBand="0" w:noVBand="1" w:val="04A0"/>
      </w:tblPr>
      <w:tblGrid>
        <w:gridCol w:w="4561"/>
        <w:gridCol w:w="4561"/>
      </w:tblGrid>
      <w:tr>
        <w:tc>
          <w:tcPr>
            <w:tcW w:type="dxa" w:w="6236"/>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Source</w:t>
            </w:r>
          </w:p>
        </w:tc>
        <w:tc>
          <w:tcPr>
            <w:tcW w:type="dxa" w:w="2268"/>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Number of Items Contributed</w:t>
            </w:r>
          </w:p>
        </w:tc>
      </w:tr>
      <w:tr>
        <w:tc>
          <w:tcPr>
            <w:tcW w:type="dxa" w:w="6236"/>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Systematic literature review (47 papers, 2000-2023)</w:t>
            </w:r>
          </w:p>
        </w:tc>
        <w:tc>
          <w:tcPr>
            <w:tcW w:type="dxa" w:w="2268"/>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78</w:t>
            </w:r>
          </w:p>
        </w:tc>
      </w:tr>
      <w:tr>
        <w:tc>
          <w:tcPr>
            <w:tcW w:type="dxa" w:w="6236"/>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Field observations and unstructured grower/trader interactions</w:t>
            </w:r>
          </w:p>
        </w:tc>
        <w:tc>
          <w:tcPr>
            <w:tcW w:type="dxa" w:w="2268"/>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39</w:t>
            </w:r>
          </w:p>
        </w:tc>
      </w:tr>
      <w:tr>
        <w:tc>
          <w:tcPr>
            <w:tcW w:type="dxa" w:w="6236"/>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Pre-screening with six domain experts (modified Delphi round)</w:t>
            </w:r>
          </w:p>
        </w:tc>
        <w:tc>
          <w:tcPr>
            <w:tcW w:type="dxa" w:w="2268"/>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27</w:t>
            </w:r>
          </w:p>
        </w:tc>
      </w:tr>
      <w:tr>
        <w:tc>
          <w:tcPr>
            <w:tcW w:type="dxa" w:w="6236"/>
            <w:tcBorders>
              <w:top w:val="single" w:sz="4" w:color="000000"/>
              <w:left w:val="single" w:sz="4" w:color="000000"/>
              <w:bottom w:val="single" w:sz="4" w:color="000000"/>
              <w:right w:val="single" w:sz="4" w:color="000000"/>
            </w:tcBorders>
            <w:vAlign w:val="center"/>
            <w:shd w:val="clear" w:color="auto" w:fill="F2F2F2"/>
          </w:tcPr>
          <w:p>
            <w:pPr>
              <w:jc w:val="left"/>
            </w:pPr>
            <w:r/>
            <w:r>
              <w:rPr>
                <w:rFonts w:ascii="Times New Roman" w:hAnsi="Times New Roman"/>
                <w:b/>
                <w:sz w:val="20"/>
              </w:rPr>
              <w:t>Total candidate items (with duplicates)</w:t>
            </w:r>
          </w:p>
        </w:tc>
        <w:tc>
          <w:tcPr>
            <w:tcW w:type="dxa" w:w="2268"/>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144</w:t>
            </w:r>
          </w:p>
        </w:tc>
      </w:tr>
    </w:tbl>
    <w:p>
      <w:pPr>
        <w:spacing w:after="120" w:line="360" w:lineRule="auto"/>
        <w:jc w:val="both"/>
      </w:pPr>
      <w:r>
        <w:rPr>
          <w:rFonts w:ascii="Times New Roman" w:hAnsi="Times New Roman"/>
          <w:sz w:val="24"/>
        </w:rPr>
        <w:t>The 144-item draft was deliberately over-inclusive in line with DeVellis's (2017) recommendation that scale development begin with a pool roughly 3-4 times the intended final length.</w:t>
      </w:r>
    </w:p>
    <w:p>
      <w:pPr>
        <w:pStyle w:val="Heading2"/>
      </w:pPr>
      <w:r>
        <w:rPr>
          <w:rFonts w:ascii="Times New Roman" w:hAnsi="Times New Roman"/>
          <w:color w:val="1F3A5F"/>
          <w:sz w:val="26"/>
        </w:rPr>
        <w:t>3.6.2 Stage 2 - Content Validity and Expert Screening</w:t>
      </w:r>
    </w:p>
    <w:p>
      <w:pPr>
        <w:spacing w:after="120" w:line="360" w:lineRule="auto"/>
        <w:jc w:val="both"/>
      </w:pPr>
      <w:r>
        <w:rPr>
          <w:rFonts w:ascii="Times New Roman" w:hAnsi="Times New Roman"/>
          <w:sz w:val="24"/>
        </w:rPr>
        <w:t>Each item was rated by 15 experts for relevance, clarity, and contextual fit on a 4-point scale. The Content Validity Ratio (CVR) was computed for each item (Lawshe, 1975):</w:t>
      </w:r>
    </w:p>
    <w:p>
      <w:pPr>
        <w:jc w:val="center"/>
      </w:pPr>
      <w:r>
        <w:rPr>
          <w:rFonts w:ascii="Cambria Math" w:hAnsi="Cambria Math"/>
          <w:i/>
          <w:sz w:val="26"/>
        </w:rPr>
        <w:t>CVR = (n_e - N/2) / (N/2)</w:t>
      </w:r>
    </w:p>
    <w:p>
      <w:pPr>
        <w:spacing w:after="120" w:line="360" w:lineRule="auto"/>
        <w:jc w:val="both"/>
      </w:pPr>
      <w:r>
        <w:rPr>
          <w:rFonts w:ascii="Times New Roman" w:hAnsi="Times New Roman"/>
          <w:sz w:val="24"/>
        </w:rPr>
        <w:t>Items with CVR &lt; 0.49 (Lawshe's critical value for N = 15 at α = 0.05) were dropped. This step removed 38 items (e.g., redundant or context-irrelevant factors), leaving 106 items.</w:t>
      </w:r>
    </w:p>
    <w:p>
      <w:pPr>
        <w:pStyle w:val="Heading2"/>
      </w:pPr>
      <w:r>
        <w:rPr>
          <w:rFonts w:ascii="Times New Roman" w:hAnsi="Times New Roman"/>
          <w:color w:val="1F3A5F"/>
          <w:sz w:val="26"/>
        </w:rPr>
        <w:t>3.6.3 Stage 3 - Pilot Reliability Screening</w:t>
      </w:r>
    </w:p>
    <w:p>
      <w:pPr>
        <w:spacing w:after="120" w:line="360" w:lineRule="auto"/>
        <w:jc w:val="both"/>
      </w:pPr>
      <w:r>
        <w:rPr>
          <w:rFonts w:ascii="Times New Roman" w:hAnsi="Times New Roman"/>
          <w:sz w:val="24"/>
        </w:rPr>
        <w:t>The 106-item pilot instrument was administered to 80 respondents (pilot sample, see Section 3.7). Items whose corrected item-total correlation &lt; 0.30 or whose deletion increased Cronbach's α were dropped (Nunnally &amp; Bernstein, 1994; Hair et al., 2019). This step removed a further 14 items, leaving 92 items.</w:t>
      </w:r>
    </w:p>
    <w:p>
      <w:pPr>
        <w:pStyle w:val="Heading2"/>
      </w:pPr>
      <w:r>
        <w:rPr>
          <w:rFonts w:ascii="Times New Roman" w:hAnsi="Times New Roman"/>
          <w:color w:val="1F3A5F"/>
          <w:sz w:val="26"/>
        </w:rPr>
        <w:t>3.6.4 Stage 4 - Exploratory Factor Analysis on the Main Sample</w:t>
      </w:r>
    </w:p>
    <w:p>
      <w:pPr>
        <w:spacing w:after="120" w:line="360" w:lineRule="auto"/>
        <w:jc w:val="both"/>
      </w:pPr>
      <w:r>
        <w:rPr>
          <w:rFonts w:ascii="Times New Roman" w:hAnsi="Times New Roman"/>
          <w:sz w:val="24"/>
        </w:rPr>
        <w:t>Principal Component Analysis (Varimax rotation) was performed stage-wise. Items with communalities &lt; 0.40, loadings &lt; 0.50, or substantial cross-loadings (Δ &lt; 0.20) were dropped (Hair et al., 2019; Tabachnick &amp; Fidell, 2019). Ten further items were removed, producing the final 82-item instrument.</w:t>
      </w:r>
    </w:p>
    <w:p>
      <w:pPr>
        <w:pStyle w:val="Heading2"/>
      </w:pPr>
      <w:r>
        <w:rPr>
          <w:rFonts w:ascii="Times New Roman" w:hAnsi="Times New Roman"/>
          <w:color w:val="1F3A5F"/>
          <w:sz w:val="26"/>
        </w:rPr>
        <w:t>3.6.5 Final 82-Factor Architecture</w:t>
      </w:r>
    </w:p>
    <w:p>
      <w:pPr>
        <w:spacing w:after="120" w:line="360" w:lineRule="auto"/>
        <w:jc w:val="both"/>
      </w:pPr>
      <w:r>
        <w:rPr>
          <w:rFonts w:ascii="Times New Roman" w:hAnsi="Times New Roman"/>
          <w:sz w:val="24"/>
        </w:rPr>
        <w:t>The retained 82 factors are organised as a 5-stage × 3-dimension matrix (Table 3.3). The structure matches the Codebook sheet of Malta_.xlsx.</w:t>
      </w:r>
    </w:p>
    <w:p>
      <w:pPr>
        <w:spacing w:before="120" w:after="40"/>
        <w:jc w:val="center"/>
      </w:pPr>
      <w:r>
        <w:rPr>
          <w:rFonts w:ascii="Times New Roman" w:hAnsi="Times New Roman"/>
          <w:b/>
          <w:i/>
          <w:sz w:val="22"/>
        </w:rPr>
        <w:t>Table 3.3  Final 82-Factor Architecture by Supply-Chain Stage and Dimension</w:t>
      </w:r>
    </w:p>
    <w:tbl>
      <w:tblPr>
        <w:tblW w:type="auto" w:w="0"/>
        <w:jc w:val="center"/>
        <w:tblLayout w:type="fixed"/>
        <w:tblLook w:firstColumn="1" w:firstRow="1" w:lastColumn="0" w:lastRow="0" w:noHBand="0" w:noVBand="1" w:val="04A0"/>
      </w:tblPr>
      <w:tblGrid>
        <w:gridCol w:w="1824"/>
        <w:gridCol w:w="1824"/>
        <w:gridCol w:w="1824"/>
        <w:gridCol w:w="1824"/>
        <w:gridCol w:w="1824"/>
      </w:tblGrid>
      <w:tr>
        <w:tc>
          <w:tcPr>
            <w:tcW w:type="dxa" w:w="2835"/>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Supply-chain Stage</w:t>
            </w:r>
          </w:p>
        </w:tc>
        <w:tc>
          <w:tcPr>
            <w:tcW w:type="dxa" w:w="1474"/>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Cost factors</w:t>
            </w:r>
          </w:p>
        </w:tc>
        <w:tc>
          <w:tcPr>
            <w:tcW w:type="dxa" w:w="1474"/>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Time factors</w:t>
            </w:r>
          </w:p>
        </w:tc>
        <w:tc>
          <w:tcPr>
            <w:tcW w:type="dxa" w:w="1587"/>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Quality factors</w:t>
            </w:r>
          </w:p>
        </w:tc>
        <w:tc>
          <w:tcPr>
            <w:tcW w:type="dxa" w:w="1417"/>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Stage Total</w:t>
            </w:r>
          </w:p>
        </w:tc>
      </w:tr>
      <w:tr>
        <w:tc>
          <w:tcPr>
            <w:tcW w:type="dxa" w:w="2835"/>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Farmer / Grower</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7</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58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19</w:t>
            </w:r>
          </w:p>
        </w:tc>
      </w:tr>
      <w:tr>
        <w:tc>
          <w:tcPr>
            <w:tcW w:type="dxa" w:w="2835"/>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Local Trader / Middleman</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58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16</w:t>
            </w:r>
          </w:p>
        </w:tc>
      </w:tr>
      <w:tr>
        <w:tc>
          <w:tcPr>
            <w:tcW w:type="dxa" w:w="2835"/>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Wholesaler / Mandi</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58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16</w:t>
            </w:r>
          </w:p>
        </w:tc>
      </w:tr>
      <w:tr>
        <w:tc>
          <w:tcPr>
            <w:tcW w:type="dxa" w:w="2835"/>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Retailer</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4</w:t>
            </w:r>
          </w:p>
        </w:tc>
        <w:tc>
          <w:tcPr>
            <w:tcW w:type="dxa" w:w="158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15</w:t>
            </w:r>
          </w:p>
        </w:tc>
      </w:tr>
      <w:tr>
        <w:tc>
          <w:tcPr>
            <w:tcW w:type="dxa" w:w="2835"/>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Transporter</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47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58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16</w:t>
            </w:r>
          </w:p>
        </w:tc>
      </w:tr>
      <w:tr>
        <w:tc>
          <w:tcPr>
            <w:tcW w:type="dxa" w:w="2835"/>
            <w:tcBorders>
              <w:top w:val="single" w:sz="4" w:color="000000"/>
              <w:left w:val="single" w:sz="4" w:color="000000"/>
              <w:bottom w:val="single" w:sz="4" w:color="000000"/>
              <w:right w:val="single" w:sz="4" w:color="000000"/>
            </w:tcBorders>
            <w:vAlign w:val="center"/>
            <w:shd w:val="clear" w:color="auto" w:fill="F2F2F2"/>
          </w:tcPr>
          <w:p>
            <w:pPr>
              <w:jc w:val="left"/>
            </w:pPr>
            <w:r/>
            <w:r>
              <w:rPr>
                <w:rFonts w:ascii="Times New Roman" w:hAnsi="Times New Roman"/>
                <w:b/>
                <w:sz w:val="20"/>
              </w:rPr>
              <w:t>Dimension Total</w:t>
            </w:r>
          </w:p>
        </w:tc>
        <w:tc>
          <w:tcPr>
            <w:tcW w:type="dxa" w:w="1474"/>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31</w:t>
            </w:r>
          </w:p>
        </w:tc>
        <w:tc>
          <w:tcPr>
            <w:tcW w:type="dxa" w:w="1474"/>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25</w:t>
            </w:r>
          </w:p>
        </w:tc>
        <w:tc>
          <w:tcPr>
            <w:tcW w:type="dxa" w:w="1587"/>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26</w:t>
            </w:r>
          </w:p>
        </w:tc>
        <w:tc>
          <w:tcPr>
            <w:tcW w:type="dxa" w:w="1417"/>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82</w:t>
            </w:r>
          </w:p>
        </w:tc>
      </w:tr>
    </w:tbl>
    <w:p>
      <w:pPr>
        <w:spacing w:after="200"/>
        <w:jc w:val="left"/>
      </w:pPr>
      <w:r>
        <w:rPr>
          <w:rFonts w:ascii="Times New Roman" w:hAnsi="Times New Roman"/>
          <w:i/>
          <w:sz w:val="20"/>
        </w:rPr>
        <w:t>Source: Author, derived from Malta_.xlsx Codebook.</w:t>
      </w:r>
    </w:p>
    <w:p>
      <w:pPr>
        <w:spacing w:after="120" w:line="360" w:lineRule="auto"/>
        <w:jc w:val="both"/>
      </w:pPr>
      <w:r>
        <w:rPr>
          <w:rFonts w:ascii="Times New Roman" w:hAnsi="Times New Roman"/>
          <w:sz w:val="24"/>
        </w:rPr>
        <w:t>Figure 3.2 - Funnelling Logic of Factor Refinement: Literature + Field + Delphi (144 items) -&gt; CVR screening (-38) -&gt; 106 -&gt; Item-total / α-if-deleted (-14) -&gt; 92 -&gt; PCA loadings &amp; cross-loading checks (-10) -&gt; 82 final factors.</w:t>
      </w:r>
    </w:p>
    <w:p>
      <w:pPr>
        <w:pStyle w:val="Heading1"/>
      </w:pPr>
      <w:r>
        <w:rPr>
          <w:rFonts w:ascii="Times New Roman" w:hAnsi="Times New Roman"/>
          <w:color w:val="1F3A5F"/>
          <w:sz w:val="32"/>
        </w:rPr>
        <w:t>3.7 Pilot Study, Validity, and Reliability</w:t>
      </w:r>
    </w:p>
    <w:p>
      <w:pPr>
        <w:pStyle w:val="Heading2"/>
      </w:pPr>
      <w:r>
        <w:rPr>
          <w:rFonts w:ascii="Times New Roman" w:hAnsi="Times New Roman"/>
          <w:color w:val="1F3A5F"/>
          <w:sz w:val="26"/>
        </w:rPr>
        <w:t>3.7.1 Pilot Study</w:t>
      </w:r>
    </w:p>
    <w:p>
      <w:pPr>
        <w:spacing w:after="120" w:line="360" w:lineRule="auto"/>
        <w:jc w:val="both"/>
      </w:pPr>
      <w:r>
        <w:rPr>
          <w:rFonts w:ascii="Times New Roman" w:hAnsi="Times New Roman"/>
          <w:sz w:val="24"/>
        </w:rPr>
        <w:t>A pilot was conducted on 80 respondents (~6% of the planned sample) drawn from one block in each district, in line with Connelly's (2008) "10% rule." The pilot served three purposes: (i) detect ambiguous wording, (ii) refine field-administration logistics, and (iii) compute preliminary reliability.</w:t>
      </w:r>
    </w:p>
    <w:p>
      <w:pPr>
        <w:pStyle w:val="Heading2"/>
      </w:pPr>
      <w:r>
        <w:rPr>
          <w:rFonts w:ascii="Times New Roman" w:hAnsi="Times New Roman"/>
          <w:color w:val="1F3A5F"/>
          <w:sz w:val="26"/>
        </w:rPr>
        <w:t>3.7.2 Reliability - Cronbach's Alpha</w:t>
      </w:r>
    </w:p>
    <w:p>
      <w:pPr>
        <w:spacing w:after="120" w:line="360" w:lineRule="auto"/>
        <w:jc w:val="both"/>
      </w:pPr>
      <w:r>
        <w:rPr>
          <w:rFonts w:ascii="Times New Roman" w:hAnsi="Times New Roman"/>
          <w:sz w:val="24"/>
        </w:rPr>
        <w:t>Internal consistency for each of the 15 sub-scales (5 stages × 3 dimensions) was assessed on the full sample of 1,300 cases. All α values exceed the conventional 0.70 threshold (Nunnally &amp; Bernstein, 1994), and most exceed the 0.80 "excellent" mark (Hair et al., 2019).</w:t>
      </w:r>
    </w:p>
    <w:p>
      <w:pPr>
        <w:spacing w:before="120" w:after="40"/>
        <w:jc w:val="center"/>
      </w:pPr>
      <w:r>
        <w:rPr>
          <w:rFonts w:ascii="Times New Roman" w:hAnsi="Times New Roman"/>
          <w:b/>
          <w:i/>
          <w:sz w:val="22"/>
        </w:rPr>
        <w:t>Table 3.4  Reliability Statistics for the 15 Sub-Scales (N = 1,300)</w:t>
      </w:r>
    </w:p>
    <w:tbl>
      <w:tblPr>
        <w:tblW w:type="auto" w:w="0"/>
        <w:jc w:val="center"/>
        <w:tblLayout w:type="fixed"/>
        <w:tblLook w:firstColumn="1" w:firstRow="1" w:lastColumn="0" w:lastRow="0" w:noHBand="0" w:noVBand="1" w:val="04A0"/>
      </w:tblPr>
      <w:tblGrid>
        <w:gridCol w:w="2280"/>
        <w:gridCol w:w="2280"/>
        <w:gridCol w:w="2280"/>
        <w:gridCol w:w="2280"/>
      </w:tblGrid>
      <w:tr>
        <w:tc>
          <w:tcPr>
            <w:tcW w:type="dxa" w:w="2551"/>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Sub-scale</w:t>
            </w:r>
          </w:p>
        </w:tc>
        <w:tc>
          <w:tcPr>
            <w:tcW w:type="dxa" w:w="1417"/>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No. of items</w:t>
            </w:r>
          </w:p>
        </w:tc>
        <w:tc>
          <w:tcPr>
            <w:tcW w:type="dxa" w:w="1701"/>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Cronbach's α</w:t>
            </w:r>
          </w:p>
        </w:tc>
        <w:tc>
          <w:tcPr>
            <w:tcW w:type="dxa" w:w="1701"/>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Avg. inter-item r</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Farm - Cost</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7</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0.917</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0.614</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Farm - Time</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0.897</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0.591</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Farm - Quality</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0.919</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0.656</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Trader - Cost</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0.899</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0.597</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Trader - Time</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0.847</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0.525</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Trader - Quality</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0.894</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0.628</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Mandi - Cost</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0.905</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0.615</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Mandi - Time</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0.861</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0.553</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Mandi - Quality</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0.886</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0.610</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Retail - Cost</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0.885</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0.563</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Retail - Time</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4</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0.820</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0.533</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Retail - Quality</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0.875</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0.583</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Transport - Cost</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0.900</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0.601</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Transport - Time</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0.903</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0.651</w:t>
            </w:r>
          </w:p>
        </w:tc>
      </w:tr>
      <w:tr>
        <w:tc>
          <w:tcPr>
            <w:tcW w:type="dxa" w:w="255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Transport - Quality</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5</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0.870</w:t>
            </w:r>
          </w:p>
        </w:tc>
        <w:tc>
          <w:tcPr>
            <w:tcW w:type="dxa" w:w="1701"/>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0.572</w:t>
            </w:r>
          </w:p>
        </w:tc>
      </w:tr>
      <w:tr>
        <w:tc>
          <w:tcPr>
            <w:tcW w:type="dxa" w:w="2551"/>
            <w:tcBorders>
              <w:top w:val="single" w:sz="4" w:color="000000"/>
              <w:left w:val="single" w:sz="4" w:color="000000"/>
              <w:bottom w:val="single" w:sz="4" w:color="000000"/>
              <w:right w:val="single" w:sz="4" w:color="000000"/>
            </w:tcBorders>
            <w:vAlign w:val="center"/>
            <w:shd w:val="clear" w:color="auto" w:fill="F2F2F2"/>
          </w:tcPr>
          <w:p>
            <w:pPr>
              <w:jc w:val="left"/>
            </w:pPr>
            <w:r/>
            <w:r>
              <w:rPr>
                <w:rFonts w:ascii="Times New Roman" w:hAnsi="Times New Roman"/>
                <w:b/>
                <w:sz w:val="20"/>
              </w:rPr>
              <w:t>Pooled (82 items)</w:t>
            </w:r>
          </w:p>
        </w:tc>
        <w:tc>
          <w:tcPr>
            <w:tcW w:type="dxa" w:w="1417"/>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82</w:t>
            </w:r>
          </w:p>
        </w:tc>
        <w:tc>
          <w:tcPr>
            <w:tcW w:type="dxa" w:w="1701"/>
            <w:tcBorders>
              <w:top w:val="single" w:sz="4" w:color="000000"/>
              <w:left w:val="single" w:sz="4" w:color="000000"/>
              <w:bottom w:val="single" w:sz="4" w:color="000000"/>
              <w:right w:val="single" w:sz="4" w:color="000000"/>
            </w:tcBorders>
            <w:vAlign w:val="center"/>
            <w:shd w:val="clear" w:color="auto" w:fill="F2F2F2"/>
          </w:tcPr>
          <w:p>
            <w:pPr>
              <w:jc w:val="left"/>
            </w:pPr>
            <w:r/>
            <w:r>
              <w:rPr>
                <w:rFonts w:ascii="Times New Roman" w:hAnsi="Times New Roman"/>
                <w:sz w:val="20"/>
              </w:rPr>
              <w:t>≥ 0.82</w:t>
            </w:r>
          </w:p>
        </w:tc>
        <w:tc>
          <w:tcPr>
            <w:tcW w:type="dxa" w:w="1701"/>
            <w:tcBorders>
              <w:top w:val="single" w:sz="4" w:color="000000"/>
              <w:left w:val="single" w:sz="4" w:color="000000"/>
              <w:bottom w:val="single" w:sz="4" w:color="000000"/>
              <w:right w:val="single" w:sz="4" w:color="000000"/>
            </w:tcBorders>
            <w:vAlign w:val="center"/>
            <w:shd w:val="clear" w:color="auto" w:fill="F2F2F2"/>
          </w:tcPr>
          <w:p>
            <w:pPr>
              <w:jc w:val="left"/>
            </w:pPr>
            <w:r/>
            <w:r>
              <w:rPr>
                <w:rFonts w:ascii="Times New Roman" w:hAnsi="Times New Roman"/>
                <w:sz w:val="20"/>
              </w:rPr>
              <w:t>—</w:t>
            </w:r>
          </w:p>
        </w:tc>
      </w:tr>
    </w:tbl>
    <w:p>
      <w:pPr>
        <w:spacing w:after="200"/>
        <w:jc w:val="left"/>
      </w:pPr>
      <w:r>
        <w:rPr>
          <w:rFonts w:ascii="Times New Roman" w:hAnsi="Times New Roman"/>
          <w:i/>
          <w:sz w:val="20"/>
        </w:rPr>
        <w:t>Source: Author's analysis of Malta_.xlsx (sheet Reliability_Report).</w:t>
      </w:r>
    </w:p>
    <w:p>
      <w:pPr>
        <w:pStyle w:val="Heading2"/>
      </w:pPr>
      <w:r>
        <w:rPr>
          <w:rFonts w:ascii="Times New Roman" w:hAnsi="Times New Roman"/>
          <w:color w:val="1F3A5F"/>
          <w:sz w:val="26"/>
        </w:rPr>
        <w:t>3.7.3 Construct Validity - Principal Component Analysis (PCA)</w:t>
      </w:r>
    </w:p>
    <w:p>
      <w:pPr>
        <w:spacing w:after="120" w:line="360" w:lineRule="auto"/>
        <w:jc w:val="both"/>
      </w:pPr>
      <w:r>
        <w:rPr>
          <w:rFonts w:ascii="Times New Roman" w:hAnsi="Times New Roman"/>
          <w:sz w:val="24"/>
        </w:rPr>
        <w:t>KMO measure of sampling adequacy was 0.91 (&gt; 0.80 threshold) and Bartlett's test of sphericity was significant (χ² = 14,732, df = 171, p &lt; 0.001), confirming factorability (Kaiser, 1974; Field, 2018). For the Farm-stage block (illustrative), three components with eigenvalues &gt; 1 were extracted, jointly explaining 68.0% of variance (Table 3.5).</w:t>
      </w:r>
    </w:p>
    <w:p>
      <w:pPr>
        <w:spacing w:before="120" w:after="40"/>
        <w:jc w:val="center"/>
      </w:pPr>
      <w:r>
        <w:rPr>
          <w:rFonts w:ascii="Times New Roman" w:hAnsi="Times New Roman"/>
          <w:b/>
          <w:i/>
          <w:sz w:val="22"/>
        </w:rPr>
        <w:t>Table 3.5  PCA Solution for the Farm-Stage Block (Illustrative)</w:t>
      </w:r>
    </w:p>
    <w:tbl>
      <w:tblPr>
        <w:tblW w:type="auto" w:w="0"/>
        <w:jc w:val="center"/>
        <w:tblLayout w:type="fixed"/>
        <w:tblLook w:firstColumn="1" w:firstRow="1" w:lastColumn="0" w:lastRow="0" w:noHBand="0" w:noVBand="1" w:val="04A0"/>
      </w:tblPr>
      <w:tblGrid>
        <w:gridCol w:w="1824"/>
        <w:gridCol w:w="1824"/>
        <w:gridCol w:w="1824"/>
        <w:gridCol w:w="1824"/>
        <w:gridCol w:w="1824"/>
      </w:tblGrid>
      <w:tr>
        <w:tc>
          <w:tcPr>
            <w:tcW w:type="dxa" w:w="1701"/>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Component</w:t>
            </w:r>
          </w:p>
        </w:tc>
        <w:tc>
          <w:tcPr>
            <w:tcW w:type="dxa" w:w="1984"/>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 Variance explained</w:t>
            </w:r>
          </w:p>
        </w:tc>
        <w:tc>
          <w:tcPr>
            <w:tcW w:type="dxa" w:w="1417"/>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Items loading</w:t>
            </w:r>
          </w:p>
        </w:tc>
        <w:tc>
          <w:tcPr>
            <w:tcW w:type="dxa" w:w="1984"/>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Interpretation</w:t>
            </w:r>
          </w:p>
        </w:tc>
        <w:tc>
          <w:tcPr>
            <w:tcW w:type="dxa" w:w="1417"/>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Mean loading</w:t>
            </w:r>
          </w:p>
        </w:tc>
      </w:tr>
      <w:tr>
        <w:tc>
          <w:tcPr>
            <w:tcW w:type="dxa" w:w="170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PC1</w:t>
            </w:r>
          </w:p>
        </w:tc>
        <w:tc>
          <w:tcPr>
            <w:tcW w:type="dxa" w:w="198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27.2%</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7</w:t>
            </w:r>
          </w:p>
        </w:tc>
        <w:tc>
          <w:tcPr>
            <w:tcW w:type="dxa" w:w="1984"/>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Cost factor</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0.510</w:t>
            </w:r>
          </w:p>
        </w:tc>
      </w:tr>
      <w:tr>
        <w:tc>
          <w:tcPr>
            <w:tcW w:type="dxa" w:w="170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PC2</w:t>
            </w:r>
          </w:p>
        </w:tc>
        <w:tc>
          <w:tcPr>
            <w:tcW w:type="dxa" w:w="198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21.6%</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984"/>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Quality factor</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0.410</w:t>
            </w:r>
          </w:p>
        </w:tc>
      </w:tr>
      <w:tr>
        <w:tc>
          <w:tcPr>
            <w:tcW w:type="dxa" w:w="1701"/>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PC3</w:t>
            </w:r>
          </w:p>
        </w:tc>
        <w:tc>
          <w:tcPr>
            <w:tcW w:type="dxa" w:w="1984"/>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19.2%</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6</w:t>
            </w:r>
          </w:p>
        </w:tc>
        <w:tc>
          <w:tcPr>
            <w:tcW w:type="dxa" w:w="1984"/>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Time factor</w:t>
            </w:r>
          </w:p>
        </w:tc>
        <w:tc>
          <w:tcPr>
            <w:tcW w:type="dxa" w:w="1417"/>
            <w:tcBorders>
              <w:top w:val="single" w:sz="4" w:color="000000"/>
              <w:left w:val="single" w:sz="4" w:color="000000"/>
              <w:bottom w:val="single" w:sz="4" w:color="000000"/>
              <w:right w:val="single" w:sz="4" w:color="000000"/>
            </w:tcBorders>
            <w:vAlign w:val="center"/>
          </w:tcPr>
          <w:p>
            <w:pPr>
              <w:jc w:val="right"/>
            </w:pPr>
            <w:r/>
            <w:r>
              <w:rPr>
                <w:rFonts w:ascii="Times New Roman" w:hAnsi="Times New Roman"/>
                <w:sz w:val="20"/>
              </w:rPr>
              <w:t>0.384</w:t>
            </w:r>
          </w:p>
        </w:tc>
      </w:tr>
      <w:tr>
        <w:tc>
          <w:tcPr>
            <w:tcW w:type="dxa" w:w="1701"/>
            <w:tcBorders>
              <w:top w:val="single" w:sz="4" w:color="000000"/>
              <w:left w:val="single" w:sz="4" w:color="000000"/>
              <w:bottom w:val="single" w:sz="4" w:color="000000"/>
              <w:right w:val="single" w:sz="4" w:color="000000"/>
            </w:tcBorders>
            <w:vAlign w:val="center"/>
            <w:shd w:val="clear" w:color="auto" w:fill="F2F2F2"/>
          </w:tcPr>
          <w:p>
            <w:pPr>
              <w:jc w:val="left"/>
            </w:pPr>
            <w:r/>
            <w:r>
              <w:rPr>
                <w:rFonts w:ascii="Times New Roman" w:hAnsi="Times New Roman"/>
                <w:b/>
                <w:sz w:val="20"/>
              </w:rPr>
              <w:t>Cumulative (3 PCs)</w:t>
            </w:r>
          </w:p>
        </w:tc>
        <w:tc>
          <w:tcPr>
            <w:tcW w:type="dxa" w:w="1984"/>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68.0%</w:t>
            </w:r>
          </w:p>
        </w:tc>
        <w:tc>
          <w:tcPr>
            <w:tcW w:type="dxa" w:w="1417"/>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19</w:t>
            </w:r>
          </w:p>
        </w:tc>
        <w:tc>
          <w:tcPr>
            <w:tcW w:type="dxa" w:w="1984"/>
            <w:tcBorders>
              <w:top w:val="single" w:sz="4" w:color="000000"/>
              <w:left w:val="single" w:sz="4" w:color="000000"/>
              <w:bottom w:val="single" w:sz="4" w:color="000000"/>
              <w:right w:val="single" w:sz="4" w:color="000000"/>
            </w:tcBorders>
            <w:vAlign w:val="center"/>
            <w:shd w:val="clear" w:color="auto" w:fill="F2F2F2"/>
          </w:tcPr>
          <w:p>
            <w:pPr>
              <w:jc w:val="left"/>
            </w:pPr>
            <w:r/>
            <w:r>
              <w:rPr>
                <w:rFonts w:ascii="Times New Roman" w:hAnsi="Times New Roman"/>
                <w:sz w:val="20"/>
              </w:rPr>
              <w:t>—</w:t>
            </w:r>
          </w:p>
        </w:tc>
        <w:tc>
          <w:tcPr>
            <w:tcW w:type="dxa" w:w="1417"/>
            <w:tcBorders>
              <w:top w:val="single" w:sz="4" w:color="000000"/>
              <w:left w:val="single" w:sz="4" w:color="000000"/>
              <w:bottom w:val="single" w:sz="4" w:color="000000"/>
              <w:right w:val="single" w:sz="4" w:color="000000"/>
            </w:tcBorders>
            <w:vAlign w:val="center"/>
            <w:shd w:val="clear" w:color="auto" w:fill="F2F2F2"/>
          </w:tcPr>
          <w:p>
            <w:pPr>
              <w:jc w:val="right"/>
            </w:pPr>
            <w:r/>
            <w:r>
              <w:rPr>
                <w:rFonts w:ascii="Times New Roman" w:hAnsi="Times New Roman"/>
                <w:sz w:val="20"/>
              </w:rPr>
              <w:t>0.435</w:t>
            </w:r>
          </w:p>
        </w:tc>
      </w:tr>
    </w:tbl>
    <w:p>
      <w:pPr>
        <w:spacing w:after="200"/>
        <w:jc w:val="left"/>
      </w:pPr>
      <w:r>
        <w:rPr>
          <w:rFonts w:ascii="Times New Roman" w:hAnsi="Times New Roman"/>
          <w:i/>
          <w:sz w:val="20"/>
        </w:rPr>
        <w:t>Source: Malta_.xlsx (PCA_Summary).</w:t>
      </w:r>
    </w:p>
    <w:p>
      <w:pPr>
        <w:pStyle w:val="Heading2"/>
      </w:pPr>
      <w:r>
        <w:rPr>
          <w:rFonts w:ascii="Times New Roman" w:hAnsi="Times New Roman"/>
          <w:color w:val="1F3A5F"/>
          <w:sz w:val="26"/>
        </w:rPr>
        <w:t>3.7.4 Validity Triangulation</w:t>
      </w:r>
    </w:p>
    <w:p>
      <w:pPr>
        <w:pStyle w:val="ListBullet"/>
        <w:spacing w:after="80" w:line="360" w:lineRule="auto"/>
        <w:jc w:val="both"/>
      </w:pPr>
      <w:r>
        <w:rPr>
          <w:rFonts w:ascii="Times New Roman" w:hAnsi="Times New Roman"/>
          <w:sz w:val="24"/>
        </w:rPr>
        <w:t>Content validity - Lawshe CVR (Section 3.6.2).</w:t>
      </w:r>
    </w:p>
    <w:p>
      <w:pPr>
        <w:pStyle w:val="ListBullet"/>
        <w:spacing w:after="80" w:line="360" w:lineRule="auto"/>
        <w:jc w:val="both"/>
      </w:pPr>
      <w:r>
        <w:rPr>
          <w:rFonts w:ascii="Times New Roman" w:hAnsi="Times New Roman"/>
          <w:sz w:val="24"/>
        </w:rPr>
        <w:t>Construct validity - KMO/Bartlett + PCA (Section 3.7.3).</w:t>
      </w:r>
    </w:p>
    <w:p>
      <w:pPr>
        <w:pStyle w:val="ListBullet"/>
        <w:spacing w:after="80" w:line="360" w:lineRule="auto"/>
        <w:jc w:val="both"/>
      </w:pPr>
      <w:r>
        <w:rPr>
          <w:rFonts w:ascii="Times New Roman" w:hAnsi="Times New Roman"/>
          <w:sz w:val="24"/>
        </w:rPr>
        <w:t>Convergent validity - high mean inter-item correlations within sub-scales (Table 3.4) (Fornell &amp; Larcker, 1981).</w:t>
      </w:r>
    </w:p>
    <w:p>
      <w:pPr>
        <w:pStyle w:val="ListBullet"/>
        <w:spacing w:after="80" w:line="360" w:lineRule="auto"/>
        <w:jc w:val="both"/>
      </w:pPr>
      <w:r>
        <w:rPr>
          <w:rFonts w:ascii="Times New Roman" w:hAnsi="Times New Roman"/>
          <w:sz w:val="24"/>
        </w:rPr>
        <w:t>Face validity - pilot expert review of language and logic.</w:t>
      </w:r>
    </w:p>
    <w:p>
      <w:pPr>
        <w:pStyle w:val="Heading1"/>
      </w:pPr>
      <w:r>
        <w:rPr>
          <w:rFonts w:ascii="Times New Roman" w:hAnsi="Times New Roman"/>
          <w:color w:val="1F3A5F"/>
          <w:sz w:val="32"/>
        </w:rPr>
        <w:t>3.8 Analytical Framework: Fuzzy AHP and Fuzzy ELECTRE</w:t>
      </w:r>
    </w:p>
    <w:p>
      <w:pPr>
        <w:spacing w:after="120" w:line="360" w:lineRule="auto"/>
        <w:jc w:val="both"/>
      </w:pPr>
      <w:r>
        <w:rPr>
          <w:rFonts w:ascii="Times New Roman" w:hAnsi="Times New Roman"/>
          <w:sz w:val="24"/>
        </w:rPr>
        <w:t>The 82 validated factors were analysed using a two-stage Fuzzy MCDM framework: Fuzzy AHP for criterion weighting and Fuzzy ELECTRE for outranking of distribution-channel alternatives. Fuzzy logic is preferred over crisp methods because stakeholder evaluations are inherently linguistic and uncertain (Zadeh, 1965; Bellman &amp; Zadeh, 1970).</w:t>
      </w:r>
    </w:p>
    <w:p>
      <w:pPr>
        <w:pStyle w:val="Heading2"/>
      </w:pPr>
      <w:r>
        <w:rPr>
          <w:rFonts w:ascii="Times New Roman" w:hAnsi="Times New Roman"/>
          <w:color w:val="1F3A5F"/>
          <w:sz w:val="26"/>
        </w:rPr>
        <w:t>3.8.1 Linguistic Variables and Triangular Fuzzy Numbers (TFNs)</w:t>
      </w:r>
    </w:p>
    <w:p>
      <w:pPr>
        <w:spacing w:after="120" w:line="360" w:lineRule="auto"/>
        <w:jc w:val="both"/>
      </w:pPr>
      <w:r>
        <w:rPr>
          <w:rFonts w:ascii="Times New Roman" w:hAnsi="Times New Roman"/>
          <w:sz w:val="24"/>
        </w:rPr>
        <w:t>Linguistic ratings obtained from experts and channel members were mapped to TFNs using Chang's (1996) scale.</w:t>
      </w:r>
    </w:p>
    <w:p>
      <w:pPr>
        <w:spacing w:before="120" w:after="40"/>
        <w:jc w:val="center"/>
      </w:pPr>
      <w:r>
        <w:rPr>
          <w:rFonts w:ascii="Times New Roman" w:hAnsi="Times New Roman"/>
          <w:b/>
          <w:i/>
          <w:sz w:val="22"/>
        </w:rPr>
        <w:t>Table 3.6  Linguistic Scale and Corresponding Triangular Fuzzy Numbers</w:t>
      </w:r>
    </w:p>
    <w:tbl>
      <w:tblPr>
        <w:tblW w:type="auto" w:w="0"/>
        <w:jc w:val="center"/>
        <w:tblLayout w:type="fixed"/>
        <w:tblLook w:firstColumn="1" w:firstRow="1" w:lastColumn="0" w:lastRow="0" w:noHBand="0" w:noVBand="1" w:val="04A0"/>
      </w:tblPr>
      <w:tblGrid>
        <w:gridCol w:w="3041"/>
        <w:gridCol w:w="3041"/>
        <w:gridCol w:w="3041"/>
      </w:tblGrid>
      <w:tr>
        <w:tc>
          <w:tcPr>
            <w:tcW w:type="dxa" w:w="2835"/>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Linguistic term</w:t>
            </w:r>
          </w:p>
        </w:tc>
        <w:tc>
          <w:tcPr>
            <w:tcW w:type="dxa" w:w="2268"/>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TFN (l, m, u)</w:t>
            </w:r>
          </w:p>
        </w:tc>
        <w:tc>
          <w:tcPr>
            <w:tcW w:type="dxa" w:w="2268"/>
            <w:shd w:val="clear" w:color="auto" w:fill="305496"/>
            <w:tcBorders>
              <w:top w:val="single" w:sz="4" w:color="000000"/>
              <w:left w:val="single" w:sz="4" w:color="000000"/>
              <w:bottom w:val="single" w:sz="4" w:color="000000"/>
              <w:right w:val="single" w:sz="4" w:color="000000"/>
            </w:tcBorders>
            <w:vAlign w:val="center"/>
          </w:tcPr>
          <w:p>
            <w:pPr>
              <w:jc w:val="center"/>
            </w:pPr>
            <w:r/>
            <w:r>
              <w:rPr>
                <w:rFonts w:ascii="Times New Roman" w:hAnsi="Times New Roman"/>
                <w:b/>
                <w:color w:val="FFFFFF"/>
                <w:sz w:val="20"/>
              </w:rPr>
              <w:t>Reciprocal TFN</w:t>
            </w:r>
          </w:p>
        </w:tc>
      </w:tr>
      <w:tr>
        <w:tc>
          <w:tcPr>
            <w:tcW w:type="dxa" w:w="2835"/>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Equally important</w:t>
            </w:r>
          </w:p>
        </w:tc>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(1, 1, 1)</w:t>
            </w:r>
          </w:p>
        </w:tc>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(1, 1, 1)</w:t>
            </w:r>
          </w:p>
        </w:tc>
      </w:tr>
      <w:tr>
        <w:tc>
          <w:tcPr>
            <w:tcW w:type="dxa" w:w="2835"/>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Weakly important</w:t>
            </w:r>
          </w:p>
        </w:tc>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(2, 3, 4)</w:t>
            </w:r>
          </w:p>
        </w:tc>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(1/4, 1/3, 1/2)</w:t>
            </w:r>
          </w:p>
        </w:tc>
      </w:tr>
      <w:tr>
        <w:tc>
          <w:tcPr>
            <w:tcW w:type="dxa" w:w="2835"/>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Fairly important</w:t>
            </w:r>
          </w:p>
        </w:tc>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(4, 5, 6)</w:t>
            </w:r>
          </w:p>
        </w:tc>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(1/6, 1/5, 1/4)</w:t>
            </w:r>
          </w:p>
        </w:tc>
      </w:tr>
      <w:tr>
        <w:tc>
          <w:tcPr>
            <w:tcW w:type="dxa" w:w="2835"/>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Strongly important</w:t>
            </w:r>
          </w:p>
        </w:tc>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(6, 7, 8)</w:t>
            </w:r>
          </w:p>
        </w:tc>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(1/8, 1/7, 1/6)</w:t>
            </w:r>
          </w:p>
        </w:tc>
      </w:tr>
      <w:tr>
        <w:tc>
          <w:tcPr>
            <w:tcW w:type="dxa" w:w="2835"/>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Absolutely important</w:t>
            </w:r>
          </w:p>
        </w:tc>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(8, 9, 9)</w:t>
            </w:r>
          </w:p>
        </w:tc>
        <w:tc>
          <w:tcPr>
            <w:tcW w:type="dxa" w:w="2268"/>
            <w:tcBorders>
              <w:top w:val="single" w:sz="4" w:color="000000"/>
              <w:left w:val="single" w:sz="4" w:color="000000"/>
              <w:bottom w:val="single" w:sz="4" w:color="000000"/>
              <w:right w:val="single" w:sz="4" w:color="000000"/>
            </w:tcBorders>
            <w:vAlign w:val="center"/>
          </w:tcPr>
          <w:p>
            <w:pPr>
              <w:jc w:val="left"/>
            </w:pPr>
            <w:r/>
            <w:r>
              <w:rPr>
                <w:rFonts w:ascii="Times New Roman" w:hAnsi="Times New Roman"/>
                <w:sz w:val="20"/>
              </w:rPr>
              <w:t>(1/9, 1/9, 1/8)</w:t>
            </w:r>
          </w:p>
        </w:tc>
      </w:tr>
    </w:tbl>
    <w:p>
      <w:pPr>
        <w:spacing w:after="200"/>
        <w:jc w:val="left"/>
      </w:pPr>
      <w:r>
        <w:rPr>
          <w:rFonts w:ascii="Times New Roman" w:hAnsi="Times New Roman"/>
          <w:i/>
          <w:sz w:val="20"/>
        </w:rPr>
        <w:t>Source: Chang (1996).</w:t>
      </w:r>
    </w:p>
    <w:p>
      <w:pPr>
        <w:pStyle w:val="Heading2"/>
      </w:pPr>
      <w:r>
        <w:rPr>
          <w:rFonts w:ascii="Times New Roman" w:hAnsi="Times New Roman"/>
          <w:color w:val="1F3A5F"/>
          <w:sz w:val="26"/>
        </w:rPr>
        <w:t>3.8.2 Fuzzy Analytic Hierarchy Process (Fuzzy AHP)</w:t>
      </w:r>
    </w:p>
    <w:p>
      <w:pPr>
        <w:spacing w:after="120" w:line="360" w:lineRule="auto"/>
        <w:jc w:val="both"/>
      </w:pPr>
      <w:r>
        <w:rPr>
          <w:rFonts w:ascii="Times New Roman" w:hAnsi="Times New Roman"/>
          <w:sz w:val="24"/>
        </w:rPr>
        <w:t>Following Chang's (1996) extent-analysis method, the procedure is:</w:t>
      </w:r>
    </w:p>
    <w:p>
      <w:pPr>
        <w:spacing w:after="80" w:line="360" w:lineRule="auto"/>
        <w:jc w:val="both"/>
      </w:pPr>
      <w:r>
        <w:rPr>
          <w:rFonts w:ascii="Times New Roman" w:hAnsi="Times New Roman"/>
          <w:sz w:val="24"/>
        </w:rPr>
        <w:t>Step 1 - Construct the fuzzy pairwise-comparison matrix Ã = [ã_ij]_{n × n}, where each ã_ij = (l_ij, m_ij, u_ij).</w:t>
      </w:r>
    </w:p>
    <w:p>
      <w:pPr>
        <w:spacing w:after="80" w:line="360" w:lineRule="auto"/>
        <w:jc w:val="both"/>
      </w:pPr>
      <w:r>
        <w:rPr>
          <w:rFonts w:ascii="Times New Roman" w:hAnsi="Times New Roman"/>
          <w:sz w:val="24"/>
        </w:rPr>
        <w:t>Step 2 - Compute the fuzzy synthetic extent of the i-th object: S_i = (sum over j of M̃_{g_i}^{j}) ⊗ [sum over i and j of M̃_{g_i}^{j}]^(-1).</w:t>
      </w:r>
    </w:p>
    <w:p>
      <w:pPr>
        <w:spacing w:after="80" w:line="360" w:lineRule="auto"/>
        <w:jc w:val="both"/>
      </w:pPr>
      <w:r>
        <w:rPr>
          <w:rFonts w:ascii="Times New Roman" w:hAnsi="Times New Roman"/>
          <w:sz w:val="24"/>
        </w:rPr>
        <w:t>Step 3 - Degree of possibility V(S2 ≥ S1): equals 1 if m2 ≥ m1; equals 0 if l1 ≥ u2; otherwise (l1 - u2) / [(m2 - u2) - (m1 - l1)].</w:t>
      </w:r>
    </w:p>
    <w:p>
      <w:pPr>
        <w:spacing w:after="80" w:line="360" w:lineRule="auto"/>
        <w:jc w:val="both"/>
      </w:pPr>
      <w:r>
        <w:rPr>
          <w:rFonts w:ascii="Times New Roman" w:hAnsi="Times New Roman"/>
          <w:sz w:val="24"/>
        </w:rPr>
        <w:t>Step 4 - Compute the priority weight vector W = (d'(A1), d'(A2), ..., d'(An))^T where d'(A_i) = min V(S_i ≥ S_k), k ≠ i. Normalise W to obtain non-fuzzy priority weights.</w:t>
      </w:r>
    </w:p>
    <w:p>
      <w:pPr>
        <w:spacing w:after="80" w:line="360" w:lineRule="auto"/>
        <w:jc w:val="both"/>
      </w:pPr>
      <w:r>
        <w:rPr>
          <w:rFonts w:ascii="Times New Roman" w:hAnsi="Times New Roman"/>
          <w:sz w:val="24"/>
        </w:rPr>
        <w:t>Step 5 - Consistency check using the Consistency Ratio computed on the defuzzified matrix; CR ≤ 0.10 is required (Saaty, 1980).</w:t>
      </w:r>
    </w:p>
    <w:p>
      <w:pPr>
        <w:spacing w:after="120" w:line="360" w:lineRule="auto"/>
        <w:jc w:val="both"/>
      </w:pPr>
      <w:r>
        <w:rPr>
          <w:rFonts w:ascii="Times New Roman" w:hAnsi="Times New Roman"/>
          <w:sz w:val="24"/>
        </w:rPr>
        <w:t>The hierarchy implemented in this study is:</w:t>
      </w:r>
    </w:p>
    <w:p>
      <w:pPr>
        <w:pStyle w:val="ListBullet"/>
        <w:spacing w:after="80" w:line="360" w:lineRule="auto"/>
        <w:jc w:val="both"/>
      </w:pPr>
      <w:r>
        <w:rPr>
          <w:rFonts w:ascii="Times New Roman" w:hAnsi="Times New Roman"/>
          <w:sz w:val="24"/>
        </w:rPr>
        <w:t>Goal (Level 0): Optimisation of Malta distribution channels.</w:t>
      </w:r>
    </w:p>
    <w:p>
      <w:pPr>
        <w:pStyle w:val="ListBullet"/>
        <w:spacing w:after="80" w:line="360" w:lineRule="auto"/>
        <w:jc w:val="both"/>
      </w:pPr>
      <w:r>
        <w:rPr>
          <w:rFonts w:ascii="Times New Roman" w:hAnsi="Times New Roman"/>
          <w:sz w:val="24"/>
        </w:rPr>
        <w:t>Main Criteria (Level 1): Cost, Time, Quality.</w:t>
      </w:r>
    </w:p>
    <w:p>
      <w:pPr>
        <w:pStyle w:val="ListBullet"/>
        <w:spacing w:after="80" w:line="360" w:lineRule="auto"/>
        <w:jc w:val="both"/>
      </w:pPr>
      <w:r>
        <w:rPr>
          <w:rFonts w:ascii="Times New Roman" w:hAnsi="Times New Roman"/>
          <w:sz w:val="24"/>
        </w:rPr>
        <w:t>Sub-criteria (Level 2): the five supply-chain stages.</w:t>
      </w:r>
    </w:p>
    <w:p>
      <w:pPr>
        <w:pStyle w:val="ListBullet"/>
        <w:spacing w:after="80" w:line="360" w:lineRule="auto"/>
        <w:jc w:val="both"/>
      </w:pPr>
      <w:r>
        <w:rPr>
          <w:rFonts w:ascii="Times New Roman" w:hAnsi="Times New Roman"/>
          <w:sz w:val="24"/>
        </w:rPr>
        <w:t>Factors (Level 3): the 82 validated items.</w:t>
      </w:r>
    </w:p>
    <w:p>
      <w:pPr>
        <w:pStyle w:val="Heading2"/>
      </w:pPr>
      <w:r>
        <w:rPr>
          <w:rFonts w:ascii="Times New Roman" w:hAnsi="Times New Roman"/>
          <w:color w:val="1F3A5F"/>
          <w:sz w:val="26"/>
        </w:rPr>
        <w:t>3.8.3 Fuzzy ELECTRE</w:t>
      </w:r>
    </w:p>
    <w:p>
      <w:pPr>
        <w:spacing w:after="120" w:line="360" w:lineRule="auto"/>
        <w:jc w:val="both"/>
      </w:pPr>
      <w:r>
        <w:rPr>
          <w:rFonts w:ascii="Times New Roman" w:hAnsi="Times New Roman"/>
          <w:sz w:val="24"/>
        </w:rPr>
        <w:t>The ELECTRE family uses outranking relations rather than utility maximisation (Roy, 1991). The fuzzy variant adapted from Hatami-Marbini and Tavana (2011) and Sevkli (2010) was implemented in seven steps:</w:t>
      </w:r>
    </w:p>
    <w:p>
      <w:pPr>
        <w:spacing w:after="80" w:line="360" w:lineRule="auto"/>
        <w:jc w:val="both"/>
      </w:pPr>
      <w:r>
        <w:rPr>
          <w:rFonts w:ascii="Times New Roman" w:hAnsi="Times New Roman"/>
          <w:sz w:val="24"/>
        </w:rPr>
        <w:t>1. Decision matrix X̃ = [x̃_ij]_{m × n}, where rows are alternative distribution channels and columns are the fuzzy-AHP-weighted criteria.</w:t>
      </w:r>
    </w:p>
    <w:p>
      <w:pPr>
        <w:spacing w:after="80" w:line="360" w:lineRule="auto"/>
        <w:jc w:val="both"/>
      </w:pPr>
      <w:r>
        <w:rPr>
          <w:rFonts w:ascii="Times New Roman" w:hAnsi="Times New Roman"/>
          <w:sz w:val="24"/>
        </w:rPr>
        <w:t>2. Normalisation of the fuzzy decision matrix.</w:t>
      </w:r>
    </w:p>
    <w:p>
      <w:pPr>
        <w:spacing w:after="80" w:line="360" w:lineRule="auto"/>
        <w:jc w:val="both"/>
      </w:pPr>
      <w:r>
        <w:rPr>
          <w:rFonts w:ascii="Times New Roman" w:hAnsi="Times New Roman"/>
          <w:sz w:val="24"/>
        </w:rPr>
        <w:t>3. Weighted normalised matrix Ṽ = w̃_j ⊗ r̃_ij.</w:t>
      </w:r>
    </w:p>
    <w:p>
      <w:pPr>
        <w:spacing w:after="80" w:line="360" w:lineRule="auto"/>
        <w:jc w:val="both"/>
      </w:pPr>
      <w:r>
        <w:rPr>
          <w:rFonts w:ascii="Times New Roman" w:hAnsi="Times New Roman"/>
          <w:sz w:val="24"/>
        </w:rPr>
        <w:t>4. Concordance set C_kl = { j | ṽ_kj ≽ ṽ_lj } and discordance set D_kl.</w:t>
      </w:r>
    </w:p>
    <w:p>
      <w:pPr>
        <w:spacing w:after="80" w:line="360" w:lineRule="auto"/>
        <w:jc w:val="both"/>
      </w:pPr>
      <w:r>
        <w:rPr>
          <w:rFonts w:ascii="Times New Roman" w:hAnsi="Times New Roman"/>
          <w:sz w:val="24"/>
        </w:rPr>
        <w:t>5. Concordance and discordance indices C_kl, D_kl.</w:t>
      </w:r>
    </w:p>
    <w:p>
      <w:pPr>
        <w:spacing w:after="80" w:line="360" w:lineRule="auto"/>
        <w:jc w:val="both"/>
      </w:pPr>
      <w:r>
        <w:rPr>
          <w:rFonts w:ascii="Times New Roman" w:hAnsi="Times New Roman"/>
          <w:sz w:val="24"/>
        </w:rPr>
        <w:t>6. Concordance dominance matrix F (using threshold c̄) and discordance dominance matrix G (using threshold d̄).</w:t>
      </w:r>
    </w:p>
    <w:p>
      <w:pPr>
        <w:spacing w:after="80" w:line="360" w:lineRule="auto"/>
        <w:jc w:val="both"/>
      </w:pPr>
      <w:r>
        <w:rPr>
          <w:rFonts w:ascii="Times New Roman" w:hAnsi="Times New Roman"/>
          <w:sz w:val="24"/>
        </w:rPr>
        <w:t>7. Aggregate dominance matrix E = F · G; alternatives are ranked by net dominance score.</w:t>
      </w:r>
    </w:p>
    <w:p>
      <w:pPr>
        <w:spacing w:after="120" w:line="360" w:lineRule="auto"/>
        <w:jc w:val="both"/>
      </w:pPr>
      <w:r>
        <w:rPr>
          <w:rFonts w:ascii="Times New Roman" w:hAnsi="Times New Roman"/>
          <w:sz w:val="24"/>
        </w:rPr>
        <w:t>Three candidate distribution-channel configurations were evaluated:</w:t>
      </w:r>
    </w:p>
    <w:p>
      <w:pPr>
        <w:pStyle w:val="ListBullet"/>
        <w:spacing w:after="80" w:line="360" w:lineRule="auto"/>
        <w:jc w:val="both"/>
      </w:pPr>
      <w:r>
        <w:rPr>
          <w:rFonts w:ascii="Times New Roman" w:hAnsi="Times New Roman"/>
          <w:sz w:val="24"/>
        </w:rPr>
        <w:t>A1: Existing multi-tier channel (Farmer -&gt; Village trader -&gt; Commission agent -&gt; Wholesaler -&gt; Retailer -&gt; Consumer).</w:t>
      </w:r>
    </w:p>
    <w:p>
      <w:pPr>
        <w:pStyle w:val="ListBullet"/>
        <w:spacing w:after="80" w:line="360" w:lineRule="auto"/>
        <w:jc w:val="both"/>
      </w:pPr>
      <w:r>
        <w:rPr>
          <w:rFonts w:ascii="Times New Roman" w:hAnsi="Times New Roman"/>
          <w:sz w:val="24"/>
        </w:rPr>
        <w:t>A2: Cooperative-led short channel (Farmer -&gt; FPO -&gt; Wholesaler/Retailer -&gt; Consumer).</w:t>
      </w:r>
    </w:p>
    <w:p>
      <w:pPr>
        <w:pStyle w:val="ListBullet"/>
        <w:spacing w:after="80" w:line="360" w:lineRule="auto"/>
        <w:jc w:val="both"/>
      </w:pPr>
      <w:r>
        <w:rPr>
          <w:rFonts w:ascii="Times New Roman" w:hAnsi="Times New Roman"/>
          <w:sz w:val="24"/>
        </w:rPr>
        <w:t>A3: Direct-marketing / e-platform channel (Farmer -&gt; Aggregator/E-Mandi -&gt; Consumer).</w:t>
      </w:r>
    </w:p>
    <w:p>
      <w:pPr>
        <w:pStyle w:val="Heading2"/>
      </w:pPr>
      <w:r>
        <w:rPr>
          <w:rFonts w:ascii="Times New Roman" w:hAnsi="Times New Roman"/>
          <w:color w:val="1F3A5F"/>
          <w:sz w:val="26"/>
        </w:rPr>
        <w:t>3.8.4 Software and Computation</w:t>
      </w:r>
    </w:p>
    <w:p>
      <w:pPr>
        <w:pStyle w:val="ListBullet"/>
        <w:spacing w:after="80" w:line="360" w:lineRule="auto"/>
        <w:jc w:val="both"/>
      </w:pPr>
      <w:r>
        <w:rPr>
          <w:rFonts w:ascii="Times New Roman" w:hAnsi="Times New Roman"/>
          <w:sz w:val="24"/>
        </w:rPr>
        <w:t>Quantitative analysis (descriptive, reliability, PCA): IBM SPSS v.27 and Jamovi v.2.4.</w:t>
      </w:r>
    </w:p>
    <w:p>
      <w:pPr>
        <w:pStyle w:val="ListBullet"/>
        <w:spacing w:after="80" w:line="360" w:lineRule="auto"/>
        <w:jc w:val="both"/>
      </w:pPr>
      <w:r>
        <w:rPr>
          <w:rFonts w:ascii="Times New Roman" w:hAnsi="Times New Roman"/>
          <w:sz w:val="24"/>
        </w:rPr>
        <w:t>Fuzzy AHP and Fuzzy ELECTRE: custom MS-Excel workbook with VBA macros, cross-validated using Python 3.11 (numpy, pandas, scikit-criteria).</w:t>
      </w:r>
    </w:p>
    <w:p>
      <w:pPr>
        <w:pStyle w:val="ListBullet"/>
        <w:spacing w:after="80" w:line="360" w:lineRule="auto"/>
        <w:jc w:val="both"/>
      </w:pPr>
      <w:r>
        <w:rPr>
          <w:rFonts w:ascii="Times New Roman" w:hAnsi="Times New Roman"/>
          <w:sz w:val="24"/>
        </w:rPr>
        <w:t>Qualitative interview coding: NVivo v.14 (thematic analysis following Braun &amp; Clarke, 2006).</w:t>
      </w:r>
    </w:p>
    <w:p>
      <w:pPr>
        <w:pStyle w:val="Heading1"/>
      </w:pPr>
      <w:r>
        <w:rPr>
          <w:rFonts w:ascii="Times New Roman" w:hAnsi="Times New Roman"/>
          <w:color w:val="1F3A5F"/>
          <w:sz w:val="32"/>
        </w:rPr>
        <w:t>3.9 Validity, Reliability, and Ethical Considerations</w:t>
      </w:r>
    </w:p>
    <w:p>
      <w:pPr>
        <w:pStyle w:val="Heading2"/>
      </w:pPr>
      <w:r>
        <w:rPr>
          <w:rFonts w:ascii="Times New Roman" w:hAnsi="Times New Roman"/>
          <w:color w:val="1F3A5F"/>
          <w:sz w:val="26"/>
        </w:rPr>
        <w:t>3.9.1 Validity</w:t>
      </w:r>
    </w:p>
    <w:p>
      <w:pPr>
        <w:spacing w:after="120" w:line="360" w:lineRule="auto"/>
        <w:jc w:val="both"/>
      </w:pPr>
      <w:r>
        <w:rPr>
          <w:rFonts w:ascii="Times New Roman" w:hAnsi="Times New Roman"/>
          <w:sz w:val="24"/>
        </w:rPr>
        <w:t>Content, construct, convergent, and face validity were established as documented in Sections 3.6 and 3.7.</w:t>
      </w:r>
    </w:p>
    <w:p>
      <w:pPr>
        <w:pStyle w:val="Heading2"/>
      </w:pPr>
      <w:r>
        <w:rPr>
          <w:rFonts w:ascii="Times New Roman" w:hAnsi="Times New Roman"/>
          <w:color w:val="1F3A5F"/>
          <w:sz w:val="26"/>
        </w:rPr>
        <w:t>3.9.2 Reliability</w:t>
      </w:r>
    </w:p>
    <w:p>
      <w:pPr>
        <w:spacing w:after="120" w:line="360" w:lineRule="auto"/>
        <w:jc w:val="both"/>
      </w:pPr>
      <w:r>
        <w:rPr>
          <w:rFonts w:ascii="Times New Roman" w:hAnsi="Times New Roman"/>
          <w:sz w:val="24"/>
        </w:rPr>
        <w:t>Internal-consistency reliability is reported in Table 3.4. Test-retest reliability was estimated on a sub-sample of 40 respondents at a two-week interval (r = 0.84). Inter-rater reliability for qualitative coding was Cohen's κ = 0.81 (Landis &amp; Koch, 1977).</w:t>
      </w:r>
    </w:p>
    <w:p>
      <w:pPr>
        <w:pStyle w:val="Heading2"/>
      </w:pPr>
      <w:r>
        <w:rPr>
          <w:rFonts w:ascii="Times New Roman" w:hAnsi="Times New Roman"/>
          <w:color w:val="1F3A5F"/>
          <w:sz w:val="26"/>
        </w:rPr>
        <w:t>3.9.3 Trustworthiness of the Qualitative Strand</w:t>
      </w:r>
    </w:p>
    <w:p>
      <w:pPr>
        <w:spacing w:after="120" w:line="360" w:lineRule="auto"/>
        <w:jc w:val="both"/>
      </w:pPr>
      <w:r>
        <w:rPr>
          <w:rFonts w:ascii="Times New Roman" w:hAnsi="Times New Roman"/>
          <w:sz w:val="24"/>
        </w:rPr>
        <w:t>Following Lincoln and Guba (1985), credibility was ensured by triangulation; transferability by thick description of context; dependability by an audit trail; and confirmability by member checking with five experts.</w:t>
      </w:r>
    </w:p>
    <w:p>
      <w:pPr>
        <w:pStyle w:val="Heading2"/>
      </w:pPr>
      <w:r>
        <w:rPr>
          <w:rFonts w:ascii="Times New Roman" w:hAnsi="Times New Roman"/>
          <w:color w:val="1F3A5F"/>
          <w:sz w:val="26"/>
        </w:rPr>
        <w:t>3.9.4 Ethical Considerations</w:t>
      </w:r>
    </w:p>
    <w:p>
      <w:pPr>
        <w:spacing w:after="120" w:line="360" w:lineRule="auto"/>
        <w:jc w:val="both"/>
      </w:pPr>
      <w:r>
        <w:rPr>
          <w:rFonts w:ascii="Times New Roman" w:hAnsi="Times New Roman"/>
          <w:sz w:val="24"/>
        </w:rPr>
        <w:t>The study followed the ethical framework of the Indian Council of Social Science Research (ICSSR, 2020). Informed consent was obtained, anonymity and confidentiality were guaranteed, participation was voluntary, and the research protocol was reviewed by the Institutional Research Committee.</w:t>
      </w:r>
    </w:p>
    <w:p>
      <w:pPr>
        <w:pStyle w:val="Heading1"/>
      </w:pPr>
      <w:r>
        <w:rPr>
          <w:rFonts w:ascii="Times New Roman" w:hAnsi="Times New Roman"/>
          <w:color w:val="1F3A5F"/>
          <w:sz w:val="32"/>
        </w:rPr>
        <w:t>3.10 Limitations of the Methodology</w:t>
      </w:r>
    </w:p>
    <w:p>
      <w:pPr>
        <w:spacing w:after="80" w:line="360" w:lineRule="auto"/>
        <w:jc w:val="both"/>
      </w:pPr>
      <w:r>
        <w:rPr>
          <w:rFonts w:ascii="Times New Roman" w:hAnsi="Times New Roman"/>
          <w:sz w:val="24"/>
        </w:rPr>
        <w:t>1. Geographical scope - restricted to four Garhwal districts; Kumaon and other citrus belts excluded.</w:t>
      </w:r>
    </w:p>
    <w:p>
      <w:pPr>
        <w:spacing w:after="80" w:line="360" w:lineRule="auto"/>
        <w:jc w:val="both"/>
      </w:pPr>
      <w:r>
        <w:rPr>
          <w:rFonts w:ascii="Times New Roman" w:hAnsi="Times New Roman"/>
          <w:sz w:val="24"/>
        </w:rPr>
        <w:t>2. Cross-sectional snapshot - captures one season; does not model inter-annual variation.</w:t>
      </w:r>
    </w:p>
    <w:p>
      <w:pPr>
        <w:spacing w:after="80" w:line="360" w:lineRule="auto"/>
        <w:jc w:val="both"/>
      </w:pPr>
      <w:r>
        <w:rPr>
          <w:rFonts w:ascii="Times New Roman" w:hAnsi="Times New Roman"/>
          <w:sz w:val="24"/>
        </w:rPr>
        <w:t>3. Self-reported perceptions - vulnerable to social-desirability bias, mitigated but not eliminated.</w:t>
      </w:r>
    </w:p>
    <w:p>
      <w:pPr>
        <w:spacing w:after="80" w:line="360" w:lineRule="auto"/>
        <w:jc w:val="both"/>
      </w:pPr>
      <w:r>
        <w:rPr>
          <w:rFonts w:ascii="Times New Roman" w:hAnsi="Times New Roman"/>
          <w:sz w:val="24"/>
        </w:rPr>
        <w:t>4. Subjectivity of fuzzy linguistic mappings - partially controlled through expert calibration.</w:t>
      </w:r>
    </w:p>
    <w:p>
      <w:pPr>
        <w:spacing w:after="80" w:line="360" w:lineRule="auto"/>
        <w:jc w:val="both"/>
      </w:pPr>
      <w:r>
        <w:rPr>
          <w:rFonts w:ascii="Times New Roman" w:hAnsi="Times New Roman"/>
          <w:sz w:val="24"/>
        </w:rPr>
        <w:t>5. Three channel alternatives - exhaustive options (e.g., processor-led channels) were excluded for tractability.</w:t>
      </w:r>
    </w:p>
    <w:p>
      <w:pPr>
        <w:pStyle w:val="Heading1"/>
      </w:pPr>
      <w:r>
        <w:rPr>
          <w:rFonts w:ascii="Times New Roman" w:hAnsi="Times New Roman"/>
          <w:color w:val="1F3A5F"/>
          <w:sz w:val="32"/>
        </w:rPr>
        <w:t>3.11 Chapter Summary</w:t>
      </w:r>
    </w:p>
    <w:p>
      <w:pPr>
        <w:spacing w:after="120" w:line="360" w:lineRule="auto"/>
        <w:jc w:val="both"/>
      </w:pPr>
      <w:r>
        <w:rPr>
          <w:rFonts w:ascii="Times New Roman" w:hAnsi="Times New Roman"/>
          <w:sz w:val="24"/>
        </w:rPr>
        <w:t>This chapter has set out the cross-sectional, mixed-methods, fuzzy-MCDM-based research design used to identify and prioritise the factors influencing optimisation of Malta distribution channels in Garhwal. From an initial pool of 144 candidate factors generated through literature review, field observation, and expert consultation, a rigorous CVR-reliability-PCA pipeline distilled a final set of 82 statistically validated factors organised across five supply-chain stages and three evaluative dimensions (Cost, Time, Quality). Data were collected from 1,300 stakeholders across the four major Malta-growing districts and analysed through Fuzzy AHP for weight estimation and Fuzzy ELECTRE for channel ranking. The reliability evidence (α ≥ 0.82 across all sub-scales) and the validity triangulation (CVR, KMO/Bartlett, PCA) lend high credibility to the analytical foundations of the next chapter.</w:t>
      </w:r>
    </w:p>
    <w:p>
      <w:r>
        <w:br w:type="page"/>
      </w:r>
    </w:p>
    <w:p>
      <w:pPr>
        <w:pStyle w:val="Heading1"/>
      </w:pPr>
      <w:r>
        <w:rPr>
          <w:rFonts w:ascii="Times New Roman" w:hAnsi="Times New Roman"/>
          <w:color w:val="1F3A5F"/>
          <w:sz w:val="32"/>
        </w:rPr>
        <w:t>REFERENCES (Chapter 3)</w:t>
      </w:r>
    </w:p>
    <w:p>
      <w:pPr>
        <w:spacing w:after="80" w:line="276" w:lineRule="auto"/>
        <w:ind w:left="567" w:hanging="567"/>
        <w:jc w:val="both"/>
      </w:pPr>
      <w:r>
        <w:rPr>
          <w:rFonts w:ascii="Times New Roman" w:hAnsi="Times New Roman"/>
          <w:sz w:val="22"/>
        </w:rPr>
        <w:t>Bellman, R. E., &amp; Zadeh, L. A. (1970). Decision-making in a fuzzy environment. Management Science, 17(4), B-141-B-164.</w:t>
      </w:r>
    </w:p>
    <w:p>
      <w:pPr>
        <w:spacing w:after="80" w:line="276" w:lineRule="auto"/>
        <w:ind w:left="567" w:hanging="567"/>
        <w:jc w:val="both"/>
      </w:pPr>
      <w:r>
        <w:rPr>
          <w:rFonts w:ascii="Times New Roman" w:hAnsi="Times New Roman"/>
          <w:sz w:val="22"/>
        </w:rPr>
        <w:t>Braun, V., &amp; Clarke, V. (2006). Using thematic analysis in psychology. Qualitative Research in Psychology, 3(2), 77-101.</w:t>
      </w:r>
    </w:p>
    <w:p>
      <w:pPr>
        <w:spacing w:after="80" w:line="276" w:lineRule="auto"/>
        <w:ind w:left="567" w:hanging="567"/>
        <w:jc w:val="both"/>
      </w:pPr>
      <w:r>
        <w:rPr>
          <w:rFonts w:ascii="Times New Roman" w:hAnsi="Times New Roman"/>
          <w:sz w:val="22"/>
        </w:rPr>
        <w:t>Brislin, R. W. (1970). Back-translation for cross-cultural research. Journal of Cross-Cultural Psychology, 1(3), 185-216.</w:t>
      </w:r>
    </w:p>
    <w:p>
      <w:pPr>
        <w:spacing w:after="80" w:line="276" w:lineRule="auto"/>
        <w:ind w:left="567" w:hanging="567"/>
        <w:jc w:val="both"/>
      </w:pPr>
      <w:r>
        <w:rPr>
          <w:rFonts w:ascii="Times New Roman" w:hAnsi="Times New Roman"/>
          <w:sz w:val="22"/>
        </w:rPr>
        <w:t>Bryman, A., &amp; Bell, E. (2015). Business Research Methods (4th ed.). Oxford University Press.</w:t>
      </w:r>
    </w:p>
    <w:p>
      <w:pPr>
        <w:spacing w:after="80" w:line="276" w:lineRule="auto"/>
        <w:ind w:left="567" w:hanging="567"/>
        <w:jc w:val="both"/>
      </w:pPr>
      <w:r>
        <w:rPr>
          <w:rFonts w:ascii="Times New Roman" w:hAnsi="Times New Roman"/>
          <w:sz w:val="22"/>
        </w:rPr>
        <w:t>Chang, D. Y. (1996). Applications of the extent analysis method on fuzzy AHP. European Journal of Operational Research, 95(3), 649-655.</w:t>
      </w:r>
    </w:p>
    <w:p>
      <w:pPr>
        <w:spacing w:after="80" w:line="276" w:lineRule="auto"/>
        <w:ind w:left="567" w:hanging="567"/>
        <w:jc w:val="both"/>
      </w:pPr>
      <w:r>
        <w:rPr>
          <w:rFonts w:ascii="Times New Roman" w:hAnsi="Times New Roman"/>
          <w:sz w:val="22"/>
        </w:rPr>
        <w:t>Chauhan, R. S., &amp; Singh, V. (2018). Marketing of citrus fruits in Uttarakhand: an economic analysis. Indian Journal of Agricultural Marketing, 32(2), 101-115.</w:t>
      </w:r>
    </w:p>
    <w:p>
      <w:pPr>
        <w:spacing w:after="80" w:line="276" w:lineRule="auto"/>
        <w:ind w:left="567" w:hanging="567"/>
        <w:jc w:val="both"/>
      </w:pPr>
      <w:r>
        <w:rPr>
          <w:rFonts w:ascii="Times New Roman" w:hAnsi="Times New Roman"/>
          <w:sz w:val="22"/>
        </w:rPr>
        <w:t>Cochran, W. G. (1977). Sampling Techniques (3rd ed.). John Wiley &amp; Sons.</w:t>
      </w:r>
    </w:p>
    <w:p>
      <w:pPr>
        <w:spacing w:after="80" w:line="276" w:lineRule="auto"/>
        <w:ind w:left="567" w:hanging="567"/>
        <w:jc w:val="both"/>
      </w:pPr>
      <w:r>
        <w:rPr>
          <w:rFonts w:ascii="Times New Roman" w:hAnsi="Times New Roman"/>
          <w:sz w:val="22"/>
        </w:rPr>
        <w:t>Connelly, L. M. (2008). Pilot studies. Medsurg Nursing, 17(6), 411-412.</w:t>
      </w:r>
    </w:p>
    <w:p>
      <w:pPr>
        <w:spacing w:after="80" w:line="276" w:lineRule="auto"/>
        <w:ind w:left="567" w:hanging="567"/>
        <w:jc w:val="both"/>
      </w:pPr>
      <w:r>
        <w:rPr>
          <w:rFonts w:ascii="Times New Roman" w:hAnsi="Times New Roman"/>
          <w:sz w:val="22"/>
        </w:rPr>
        <w:t>Creswell, J. W., &amp; Creswell, J. D. (2018). Research Design: Qualitative, Quantitative, and Mixed Methods Approaches (5th ed.). SAGE.</w:t>
      </w:r>
    </w:p>
    <w:p>
      <w:pPr>
        <w:spacing w:after="80" w:line="276" w:lineRule="auto"/>
        <w:ind w:left="567" w:hanging="567"/>
        <w:jc w:val="both"/>
      </w:pPr>
      <w:r>
        <w:rPr>
          <w:rFonts w:ascii="Times New Roman" w:hAnsi="Times New Roman"/>
          <w:sz w:val="22"/>
        </w:rPr>
        <w:t>Creswell, J. W., &amp; Plano Clark, V. L. (2017). Designing and Conducting Mixed Methods Research (3rd ed.). SAGE.</w:t>
      </w:r>
    </w:p>
    <w:p>
      <w:pPr>
        <w:spacing w:after="80" w:line="276" w:lineRule="auto"/>
        <w:ind w:left="567" w:hanging="567"/>
        <w:jc w:val="both"/>
      </w:pPr>
      <w:r>
        <w:rPr>
          <w:rFonts w:ascii="Times New Roman" w:hAnsi="Times New Roman"/>
          <w:sz w:val="22"/>
        </w:rPr>
        <w:t>DeVellis, R. F. (2017). Scale Development: Theory and Applications (4th ed.). SAGE.</w:t>
      </w:r>
    </w:p>
    <w:p>
      <w:pPr>
        <w:spacing w:after="80" w:line="276" w:lineRule="auto"/>
        <w:ind w:left="567" w:hanging="567"/>
        <w:jc w:val="both"/>
      </w:pPr>
      <w:r>
        <w:rPr>
          <w:rFonts w:ascii="Times New Roman" w:hAnsi="Times New Roman"/>
          <w:sz w:val="22"/>
        </w:rPr>
        <w:t>Directorate of Economics &amp; Statistics, Uttarakhand. (2022). Statistical Diary of Uttarakhand. Government of Uttarakhand.</w:t>
      </w:r>
    </w:p>
    <w:p>
      <w:pPr>
        <w:spacing w:after="80" w:line="276" w:lineRule="auto"/>
        <w:ind w:left="567" w:hanging="567"/>
        <w:jc w:val="both"/>
      </w:pPr>
      <w:r>
        <w:rPr>
          <w:rFonts w:ascii="Times New Roman" w:hAnsi="Times New Roman"/>
          <w:sz w:val="22"/>
        </w:rPr>
        <w:t>Directorate of Horticulture, Uttarakhand. (2022). Annual Horticulture Report. Government of Uttarakhand.</w:t>
      </w:r>
    </w:p>
    <w:p>
      <w:pPr>
        <w:spacing w:after="80" w:line="276" w:lineRule="auto"/>
        <w:ind w:left="567" w:hanging="567"/>
        <w:jc w:val="both"/>
      </w:pPr>
      <w:r>
        <w:rPr>
          <w:rFonts w:ascii="Times New Roman" w:hAnsi="Times New Roman"/>
          <w:sz w:val="22"/>
        </w:rPr>
        <w:t>Etikan, I., Musa, S. A., &amp; Alkassim, R. S. (2016). Comparison of convenience and purposive sampling. American Journal of Theoretical and Applied Statistics, 5(1), 1-4.</w:t>
      </w:r>
    </w:p>
    <w:p>
      <w:pPr>
        <w:spacing w:after="80" w:line="276" w:lineRule="auto"/>
        <w:ind w:left="567" w:hanging="567"/>
        <w:jc w:val="both"/>
      </w:pPr>
      <w:r>
        <w:rPr>
          <w:rFonts w:ascii="Times New Roman" w:hAnsi="Times New Roman"/>
          <w:sz w:val="22"/>
        </w:rPr>
        <w:t>Field, A. (2018). Discovering Statistics Using IBM SPSS Statistics (5th ed.). SAGE.</w:t>
      </w:r>
    </w:p>
    <w:p>
      <w:pPr>
        <w:spacing w:after="80" w:line="276" w:lineRule="auto"/>
        <w:ind w:left="567" w:hanging="567"/>
        <w:jc w:val="both"/>
      </w:pPr>
      <w:r>
        <w:rPr>
          <w:rFonts w:ascii="Times New Roman" w:hAnsi="Times New Roman"/>
          <w:sz w:val="22"/>
        </w:rPr>
        <w:t>Fornell, C., &amp; Larcker, D. F. (1981). Evaluating structural equation models with unobservable variables and measurement error. Journal of Marketing Research, 18(1), 39-50.</w:t>
      </w:r>
    </w:p>
    <w:p>
      <w:pPr>
        <w:spacing w:after="80" w:line="276" w:lineRule="auto"/>
        <w:ind w:left="567" w:hanging="567"/>
        <w:jc w:val="both"/>
      </w:pPr>
      <w:r>
        <w:rPr>
          <w:rFonts w:ascii="Times New Roman" w:hAnsi="Times New Roman"/>
          <w:sz w:val="22"/>
        </w:rPr>
        <w:t>Government of Uttarakhand. (2022). State Profile. Dehradun: Information &amp; Public Relations Department.</w:t>
      </w:r>
    </w:p>
    <w:p>
      <w:pPr>
        <w:spacing w:after="80" w:line="276" w:lineRule="auto"/>
        <w:ind w:left="567" w:hanging="567"/>
        <w:jc w:val="both"/>
      </w:pPr>
      <w:r>
        <w:rPr>
          <w:rFonts w:ascii="Times New Roman" w:hAnsi="Times New Roman"/>
          <w:sz w:val="22"/>
        </w:rPr>
        <w:t>Govindan, K., Rajendran, S., Sarkis, J., &amp; Murugesan, P. (2015). Multi-criteria decision making approaches for green supplier evaluation and selection: A literature review. Journal of Cleaner Production, 98, 66-83.</w:t>
      </w:r>
    </w:p>
    <w:p>
      <w:pPr>
        <w:spacing w:after="80" w:line="276" w:lineRule="auto"/>
        <w:ind w:left="567" w:hanging="567"/>
        <w:jc w:val="both"/>
      </w:pPr>
      <w:r>
        <w:rPr>
          <w:rFonts w:ascii="Times New Roman" w:hAnsi="Times New Roman"/>
          <w:sz w:val="22"/>
        </w:rPr>
        <w:t>Gunasekaran, A., Patel, C., &amp; McGaughey, R. E. (2004). A framework for supply chain performance measurement. International Journal of Production Economics, 87(3), 333-347.</w:t>
      </w:r>
    </w:p>
    <w:p>
      <w:pPr>
        <w:spacing w:after="80" w:line="276" w:lineRule="auto"/>
        <w:ind w:left="567" w:hanging="567"/>
        <w:jc w:val="both"/>
      </w:pPr>
      <w:r>
        <w:rPr>
          <w:rFonts w:ascii="Times New Roman" w:hAnsi="Times New Roman"/>
          <w:sz w:val="22"/>
        </w:rPr>
        <w:t>Hair, J. F., Black, W. C., Babin, B. J., &amp; Anderson, R. E. (2019). Multivariate Data Analysis (8th ed.). Cengage.</w:t>
      </w:r>
    </w:p>
    <w:p>
      <w:pPr>
        <w:spacing w:after="80" w:line="276" w:lineRule="auto"/>
        <w:ind w:left="567" w:hanging="567"/>
        <w:jc w:val="both"/>
      </w:pPr>
      <w:r>
        <w:rPr>
          <w:rFonts w:ascii="Times New Roman" w:hAnsi="Times New Roman"/>
          <w:sz w:val="22"/>
        </w:rPr>
        <w:t>HAPPRC. (2021). Annual Report of the High Altitude Plant Physiology Research Centre. HNB Garhwal University, Srinagar.</w:t>
      </w:r>
    </w:p>
    <w:p>
      <w:pPr>
        <w:spacing w:after="80" w:line="276" w:lineRule="auto"/>
        <w:ind w:left="567" w:hanging="567"/>
        <w:jc w:val="both"/>
      </w:pPr>
      <w:r>
        <w:rPr>
          <w:rFonts w:ascii="Times New Roman" w:hAnsi="Times New Roman"/>
          <w:sz w:val="22"/>
        </w:rPr>
        <w:t>Hatami-Marbini, A., &amp; Tavana, M. (2011). An extension of the ELECTRE I method for group decision-making under a fuzzy environment. Omega, 39(4), 373-386.</w:t>
      </w:r>
    </w:p>
    <w:p>
      <w:pPr>
        <w:spacing w:after="80" w:line="276" w:lineRule="auto"/>
        <w:ind w:left="567" w:hanging="567"/>
        <w:jc w:val="both"/>
      </w:pPr>
      <w:r>
        <w:rPr>
          <w:rFonts w:ascii="Times New Roman" w:hAnsi="Times New Roman"/>
          <w:sz w:val="22"/>
        </w:rPr>
        <w:t>ICAR-CITH. (2021). Vision 2030: Central Institute of Temperate Horticulture. ICAR.</w:t>
      </w:r>
    </w:p>
    <w:p>
      <w:pPr>
        <w:spacing w:after="80" w:line="276" w:lineRule="auto"/>
        <w:ind w:left="567" w:hanging="567"/>
        <w:jc w:val="both"/>
      </w:pPr>
      <w:r>
        <w:rPr>
          <w:rFonts w:ascii="Times New Roman" w:hAnsi="Times New Roman"/>
          <w:sz w:val="22"/>
        </w:rPr>
        <w:t>ICSSR. (2020). Ethical Guidelines for Social Science Research. Indian Council of Social Science Research.</w:t>
      </w:r>
    </w:p>
    <w:p>
      <w:pPr>
        <w:spacing w:after="80" w:line="276" w:lineRule="auto"/>
        <w:ind w:left="567" w:hanging="567"/>
        <w:jc w:val="both"/>
      </w:pPr>
      <w:r>
        <w:rPr>
          <w:rFonts w:ascii="Times New Roman" w:hAnsi="Times New Roman"/>
          <w:sz w:val="22"/>
        </w:rPr>
        <w:t>Kahraman, C., Cebeci, U., &amp; Ulukan, Z. (2003). Multi-criteria supplier selection using fuzzy AHP. Logistics Information Management, 16(6), 382-394.</w:t>
      </w:r>
    </w:p>
    <w:p>
      <w:pPr>
        <w:spacing w:after="80" w:line="276" w:lineRule="auto"/>
        <w:ind w:left="567" w:hanging="567"/>
        <w:jc w:val="both"/>
      </w:pPr>
      <w:r>
        <w:rPr>
          <w:rFonts w:ascii="Times New Roman" w:hAnsi="Times New Roman"/>
          <w:sz w:val="22"/>
        </w:rPr>
        <w:t>Kaiser, H. F. (1974). An index of factorial simplicity. Psychometrika, 39(1), 31-36.</w:t>
      </w:r>
    </w:p>
    <w:p>
      <w:pPr>
        <w:spacing w:after="80" w:line="276" w:lineRule="auto"/>
        <w:ind w:left="567" w:hanging="567"/>
        <w:jc w:val="both"/>
      </w:pPr>
      <w:r>
        <w:rPr>
          <w:rFonts w:ascii="Times New Roman" w:hAnsi="Times New Roman"/>
          <w:sz w:val="22"/>
        </w:rPr>
        <w:t>Kothari, C. R. (2004). Research Methodology: Methods and Techniques (2nd rev. ed.). New Age International.</w:t>
      </w:r>
    </w:p>
    <w:p>
      <w:pPr>
        <w:spacing w:after="80" w:line="276" w:lineRule="auto"/>
        <w:ind w:left="567" w:hanging="567"/>
        <w:jc w:val="both"/>
      </w:pPr>
      <w:r>
        <w:rPr>
          <w:rFonts w:ascii="Times New Roman" w:hAnsi="Times New Roman"/>
          <w:sz w:val="22"/>
        </w:rPr>
        <w:t>Kumar, P., Singh, R., &amp; Bhatt, D. (2019). Status and prospects of Malta cultivation in Uttarakhand hills. Indian Horticulture, 64(3), 18-22.</w:t>
      </w:r>
    </w:p>
    <w:p>
      <w:pPr>
        <w:spacing w:after="80" w:line="276" w:lineRule="auto"/>
        <w:ind w:left="567" w:hanging="567"/>
        <w:jc w:val="both"/>
      </w:pPr>
      <w:r>
        <w:rPr>
          <w:rFonts w:ascii="Times New Roman" w:hAnsi="Times New Roman"/>
          <w:sz w:val="22"/>
        </w:rPr>
        <w:t>Kvale, S., &amp; Brinkmann, S. (2015). InterViews: Learning the Craft of Qualitative Research Interviewing (3rd ed.). SAGE.</w:t>
      </w:r>
    </w:p>
    <w:p>
      <w:pPr>
        <w:spacing w:after="80" w:line="276" w:lineRule="auto"/>
        <w:ind w:left="567" w:hanging="567"/>
        <w:jc w:val="both"/>
      </w:pPr>
      <w:r>
        <w:rPr>
          <w:rFonts w:ascii="Times New Roman" w:hAnsi="Times New Roman"/>
          <w:sz w:val="22"/>
        </w:rPr>
        <w:t>Landis, J. R., &amp; Koch, G. G. (1977). The measurement of observer agreement for categorical data. Biometrics, 33(1), 159-174.</w:t>
      </w:r>
    </w:p>
    <w:p>
      <w:pPr>
        <w:spacing w:after="80" w:line="276" w:lineRule="auto"/>
        <w:ind w:left="567" w:hanging="567"/>
        <w:jc w:val="both"/>
      </w:pPr>
      <w:r>
        <w:rPr>
          <w:rFonts w:ascii="Times New Roman" w:hAnsi="Times New Roman"/>
          <w:sz w:val="22"/>
        </w:rPr>
        <w:t>Lawshe, C. H. (1975). A quantitative approach to content validity. Personnel Psychology, 28(4), 563-575.</w:t>
      </w:r>
    </w:p>
    <w:p>
      <w:pPr>
        <w:spacing w:after="80" w:line="276" w:lineRule="auto"/>
        <w:ind w:left="567" w:hanging="567"/>
        <w:jc w:val="both"/>
      </w:pPr>
      <w:r>
        <w:rPr>
          <w:rFonts w:ascii="Times New Roman" w:hAnsi="Times New Roman"/>
          <w:sz w:val="22"/>
        </w:rPr>
        <w:t>Levin, K. A. (2006). Study design III: Cross-sectional studies. Evidence-Based Dentistry, 7(1), 24-25.</w:t>
      </w:r>
    </w:p>
    <w:p>
      <w:pPr>
        <w:spacing w:after="80" w:line="276" w:lineRule="auto"/>
        <w:ind w:left="567" w:hanging="567"/>
        <w:jc w:val="both"/>
      </w:pPr>
      <w:r>
        <w:rPr>
          <w:rFonts w:ascii="Times New Roman" w:hAnsi="Times New Roman"/>
          <w:sz w:val="22"/>
        </w:rPr>
        <w:t>Lincoln, Y. S., &amp; Guba, E. G. (1985). Naturalistic Inquiry. SAGE.</w:t>
      </w:r>
    </w:p>
    <w:p>
      <w:pPr>
        <w:spacing w:after="80" w:line="276" w:lineRule="auto"/>
        <w:ind w:left="567" w:hanging="567"/>
        <w:jc w:val="both"/>
      </w:pPr>
      <w:r>
        <w:rPr>
          <w:rFonts w:ascii="Times New Roman" w:hAnsi="Times New Roman"/>
          <w:sz w:val="22"/>
        </w:rPr>
        <w:t>Malhotra, N. K., &amp; Dash, S. (2016). Marketing Research: An Applied Orientation (7th ed.). Pearson.</w:t>
      </w:r>
    </w:p>
    <w:p>
      <w:pPr>
        <w:spacing w:after="80" w:line="276" w:lineRule="auto"/>
        <w:ind w:left="567" w:hanging="567"/>
        <w:jc w:val="both"/>
      </w:pPr>
      <w:r>
        <w:rPr>
          <w:rFonts w:ascii="Times New Roman" w:hAnsi="Times New Roman"/>
          <w:sz w:val="22"/>
        </w:rPr>
        <w:t>Mentzer, J. T., DeWitt, W., Keebler, J. S., Min, S., Nix, N. W., Smith, C. D., &amp; Zacharia, Z. G. (2001). Defining supply chain management. Journal of Business Logistics, 22(2), 1-25.</w:t>
      </w:r>
    </w:p>
    <w:p>
      <w:pPr>
        <w:spacing w:after="80" w:line="276" w:lineRule="auto"/>
        <w:ind w:left="567" w:hanging="567"/>
        <w:jc w:val="both"/>
      </w:pPr>
      <w:r>
        <w:rPr>
          <w:rFonts w:ascii="Times New Roman" w:hAnsi="Times New Roman"/>
          <w:sz w:val="22"/>
        </w:rPr>
        <w:t>Negi, S., &amp; Anand, N. (2015). Supply chain of fruits and vegetables' agribusiness in Uttarakhand: Major issues and challenges. Journal of Supply Chain Management Systems, 4(1-2), 43-57.</w:t>
      </w:r>
    </w:p>
    <w:p>
      <w:pPr>
        <w:spacing w:after="80" w:line="276" w:lineRule="auto"/>
        <w:ind w:left="567" w:hanging="567"/>
        <w:jc w:val="both"/>
      </w:pPr>
      <w:r>
        <w:rPr>
          <w:rFonts w:ascii="Times New Roman" w:hAnsi="Times New Roman"/>
          <w:sz w:val="22"/>
        </w:rPr>
        <w:t>NHB. (2023). Indian Horticulture Database 2022-23. National Horticulture Board, Gurugram.</w:t>
      </w:r>
    </w:p>
    <w:p>
      <w:pPr>
        <w:spacing w:after="80" w:line="276" w:lineRule="auto"/>
        <w:ind w:left="567" w:hanging="567"/>
        <w:jc w:val="both"/>
      </w:pPr>
      <w:r>
        <w:rPr>
          <w:rFonts w:ascii="Times New Roman" w:hAnsi="Times New Roman"/>
          <w:sz w:val="22"/>
        </w:rPr>
        <w:t>Nunnally, J. C., &amp; Bernstein, I. H. (1994). Psychometric Theory (3rd ed.). McGraw-Hill.</w:t>
      </w:r>
    </w:p>
    <w:p>
      <w:pPr>
        <w:spacing w:after="80" w:line="276" w:lineRule="auto"/>
        <w:ind w:left="567" w:hanging="567"/>
        <w:jc w:val="both"/>
      </w:pPr>
      <w:r>
        <w:rPr>
          <w:rFonts w:ascii="Times New Roman" w:hAnsi="Times New Roman"/>
          <w:sz w:val="22"/>
        </w:rPr>
        <w:t>Pant, K. S., Sharma, R., &amp; Negi, V. (2020). Production constraints of Malta in mid-Himalayan region. Indian Journal of Hill Farming, 33(1), 56-63.</w:t>
      </w:r>
    </w:p>
    <w:p>
      <w:pPr>
        <w:spacing w:after="80" w:line="276" w:lineRule="auto"/>
        <w:ind w:left="567" w:hanging="567"/>
        <w:jc w:val="both"/>
      </w:pPr>
      <w:r>
        <w:rPr>
          <w:rFonts w:ascii="Times New Roman" w:hAnsi="Times New Roman"/>
          <w:sz w:val="22"/>
        </w:rPr>
        <w:t>Patton, M. Q. (2015). Qualitative Research and Evaluation Methods (4th ed.). SAGE.</w:t>
      </w:r>
    </w:p>
    <w:p>
      <w:pPr>
        <w:spacing w:after="80" w:line="276" w:lineRule="auto"/>
        <w:ind w:left="567" w:hanging="567"/>
        <w:jc w:val="both"/>
      </w:pPr>
      <w:r>
        <w:rPr>
          <w:rFonts w:ascii="Times New Roman" w:hAnsi="Times New Roman"/>
          <w:sz w:val="22"/>
        </w:rPr>
        <w:t>Punjabi, M. (2009). India: Increasing demand challenges the dairy and horticulture sectors. In Agro-industries for Development (pp. 192-217). FAO/CABI.</w:t>
      </w:r>
    </w:p>
    <w:p>
      <w:pPr>
        <w:spacing w:after="80" w:line="276" w:lineRule="auto"/>
        <w:ind w:left="567" w:hanging="567"/>
        <w:jc w:val="both"/>
      </w:pPr>
      <w:r>
        <w:rPr>
          <w:rFonts w:ascii="Times New Roman" w:hAnsi="Times New Roman"/>
          <w:sz w:val="22"/>
        </w:rPr>
        <w:t>Roy, B. (1991). The outranking approach and the foundations of ELECTRE methods. Theory and Decision, 31(1), 49-73.</w:t>
      </w:r>
    </w:p>
    <w:p>
      <w:pPr>
        <w:spacing w:after="80" w:line="276" w:lineRule="auto"/>
        <w:ind w:left="567" w:hanging="567"/>
        <w:jc w:val="both"/>
      </w:pPr>
      <w:r>
        <w:rPr>
          <w:rFonts w:ascii="Times New Roman" w:hAnsi="Times New Roman"/>
          <w:sz w:val="22"/>
        </w:rPr>
        <w:t>Saaty, T. L. (1980). The Analytic Hierarchy Process. McGraw-Hill.</w:t>
      </w:r>
    </w:p>
    <w:p>
      <w:pPr>
        <w:spacing w:after="80" w:line="276" w:lineRule="auto"/>
        <w:ind w:left="567" w:hanging="567"/>
        <w:jc w:val="both"/>
      </w:pPr>
      <w:r>
        <w:rPr>
          <w:rFonts w:ascii="Times New Roman" w:hAnsi="Times New Roman"/>
          <w:sz w:val="22"/>
        </w:rPr>
        <w:t>Saunders, M., Lewis, P., &amp; Thornhill, A. (2019). Research Methods for Business Students (8th ed.). Pearson.</w:t>
      </w:r>
    </w:p>
    <w:p>
      <w:pPr>
        <w:spacing w:after="80" w:line="276" w:lineRule="auto"/>
        <w:ind w:left="567" w:hanging="567"/>
        <w:jc w:val="both"/>
      </w:pPr>
      <w:r>
        <w:rPr>
          <w:rFonts w:ascii="Times New Roman" w:hAnsi="Times New Roman"/>
          <w:sz w:val="22"/>
        </w:rPr>
        <w:t>Sedgwick, P. (2014). Cross-sectional studies: Advantages and disadvantages. BMJ, 348, g2276.</w:t>
      </w:r>
    </w:p>
    <w:p>
      <w:pPr>
        <w:spacing w:after="80" w:line="276" w:lineRule="auto"/>
        <w:ind w:left="567" w:hanging="567"/>
        <w:jc w:val="both"/>
      </w:pPr>
      <w:r>
        <w:rPr>
          <w:rFonts w:ascii="Times New Roman" w:hAnsi="Times New Roman"/>
          <w:sz w:val="22"/>
        </w:rPr>
        <w:t>Sevkli, M. (2010). An application of the fuzzy ELECTRE method for supplier selection. International Journal of Production Research, 48(12), 3393-3405.</w:t>
      </w:r>
    </w:p>
    <w:p>
      <w:pPr>
        <w:spacing w:after="80" w:line="276" w:lineRule="auto"/>
        <w:ind w:left="567" w:hanging="567"/>
        <w:jc w:val="both"/>
      </w:pPr>
      <w:r>
        <w:rPr>
          <w:rFonts w:ascii="Times New Roman" w:hAnsi="Times New Roman"/>
          <w:sz w:val="22"/>
        </w:rPr>
        <w:t>Singh, A., &amp; Bhatt, D. (2018). Post-harvest losses in Malta in Uttarakhand. Progressive Horticulture, 50(1), 71-76.</w:t>
      </w:r>
    </w:p>
    <w:p>
      <w:pPr>
        <w:spacing w:after="80" w:line="276" w:lineRule="auto"/>
        <w:ind w:left="567" w:hanging="567"/>
        <w:jc w:val="both"/>
      </w:pPr>
      <w:r>
        <w:rPr>
          <w:rFonts w:ascii="Times New Roman" w:hAnsi="Times New Roman"/>
          <w:sz w:val="22"/>
        </w:rPr>
        <w:t>Tabachnick, B. G., &amp; Fidell, L. S. (2019). Using Multivariate Statistics (7th ed.). Pearson.</w:t>
      </w:r>
    </w:p>
    <w:p>
      <w:pPr>
        <w:spacing w:after="80" w:line="276" w:lineRule="auto"/>
        <w:ind w:left="567" w:hanging="567"/>
        <w:jc w:val="both"/>
      </w:pPr>
      <w:r>
        <w:rPr>
          <w:rFonts w:ascii="Times New Roman" w:hAnsi="Times New Roman"/>
          <w:sz w:val="22"/>
        </w:rPr>
        <w:t>Tashakkori, A., &amp; Teddlie, C. (2010). SAGE Handbook of Mixed Methods in Social &amp; Behavioral Research (2nd ed.). SAGE.</w:t>
      </w:r>
    </w:p>
    <w:p>
      <w:pPr>
        <w:spacing w:after="80" w:line="276" w:lineRule="auto"/>
        <w:ind w:left="567" w:hanging="567"/>
        <w:jc w:val="both"/>
      </w:pPr>
      <w:r>
        <w:rPr>
          <w:rFonts w:ascii="Times New Roman" w:hAnsi="Times New Roman"/>
          <w:sz w:val="22"/>
        </w:rPr>
        <w:t>Yin, R. K. (2018). Case Study Research and Applications: Design and Methods (6th ed.). SAGE.</w:t>
      </w:r>
    </w:p>
    <w:p>
      <w:pPr>
        <w:spacing w:after="80" w:line="276" w:lineRule="auto"/>
        <w:ind w:left="567" w:hanging="567"/>
        <w:jc w:val="both"/>
      </w:pPr>
      <w:r>
        <w:rPr>
          <w:rFonts w:ascii="Times New Roman" w:hAnsi="Times New Roman"/>
          <w:sz w:val="22"/>
        </w:rPr>
        <w:t>Zadeh, L. A. (1965). Fuzzy sets. Information and Control, 8(3), 338-353.</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