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255D" w14:textId="77777777" w:rsidR="00F56664" w:rsidRDefault="00F56664" w:rsidP="00F56664">
      <w:pPr>
        <w:pStyle w:val="Heading1"/>
      </w:pPr>
      <w:r>
        <w:t>1.1 Background of the Study</w:t>
      </w:r>
    </w:p>
    <w:p w14:paraId="6EBB46C3" w14:textId="77777777" w:rsidR="00F56664" w:rsidRDefault="00F56664" w:rsidP="00F56664">
      <w:pPr>
        <w:spacing w:after="160" w:line="360" w:lineRule="auto"/>
        <w:jc w:val="both"/>
      </w:pPr>
      <w:r>
        <w:rPr>
          <w:rFonts w:ascii="Times New Roman" w:eastAsia="Times New Roman" w:hAnsi="Times New Roman" w:cs="Times New Roman"/>
          <w:sz w:val="24"/>
          <w:szCs w:val="24"/>
        </w:rPr>
        <w:t>India's agricultural landscape is undergoing a significant structural shift, with the horticultural sector increasingly positioned as a driver of rural income, nutritional security, and export diversification. Within this broader transition, the citrus sub-sector occupies a particularly strategic place, contributing substantially to horticultural output, rural employment, and foreign exchange earnings. Understanding the production and marketing dynamics of specific citrus varieties—particularly in ecologically sensitive and economically marginal regions—is therefore not merely an academic exercise but a development imperative. This section traces that context, beginning with the macroeconomic contours of India's citrus industry, narrowing to the specific importance of Malta (Citrus sinensis) in Uttarakhand's hill districts, and culminating in the marketing and distributional challenges that circumscribe its commercial potential.</w:t>
      </w:r>
    </w:p>
    <w:p w14:paraId="219688D9" w14:textId="77777777" w:rsidR="00F56664" w:rsidRDefault="00F56664" w:rsidP="00F56664">
      <w:pPr>
        <w:pStyle w:val="Heading2"/>
      </w:pPr>
      <w:r>
        <w:t>Citrus Industry in India</w:t>
      </w:r>
    </w:p>
    <w:p w14:paraId="270CB6CA" w14:textId="77777777" w:rsidR="00F56664" w:rsidRDefault="00F56664" w:rsidP="00F56664">
      <w:pPr>
        <w:spacing w:after="160" w:line="360" w:lineRule="auto"/>
        <w:jc w:val="both"/>
      </w:pPr>
      <w:r>
        <w:rPr>
          <w:rFonts w:ascii="Times New Roman" w:eastAsia="Times New Roman" w:hAnsi="Times New Roman" w:cs="Times New Roman"/>
          <w:sz w:val="24"/>
          <w:szCs w:val="24"/>
        </w:rPr>
        <w:t xml:space="preserve">India ranks among the top global producers of citrus fruits, with production spread across more than one million hectares and annual output estimated at 14–15 million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(Kadam &amp; Ghosh, 2024; Kumar et al., 2024). The sector serves as a key pillar of the country's horticultural economy, generating livelihoods for millions of smallholder farmers and contributing to export revenues across multiple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-climatic zones. Growth has been particularly pronounced in states such as Maharashtra and Andhra Pradesh, which together dominate national area and output, underscoring the importance of region-specific policy and technological interventions (Kumar et al., 2024).</w:t>
      </w:r>
    </w:p>
    <w:p w14:paraId="2DCD2193" w14:textId="77777777" w:rsidR="00F56664" w:rsidRDefault="00F56664" w:rsidP="00F56664">
      <w:pPr>
        <w:spacing w:after="160" w:line="360" w:lineRule="auto"/>
        <w:jc w:val="both"/>
      </w:pPr>
      <w:r>
        <w:rPr>
          <w:rFonts w:ascii="Times New Roman" w:eastAsia="Times New Roman" w:hAnsi="Times New Roman" w:cs="Times New Roman"/>
          <w:sz w:val="24"/>
          <w:szCs w:val="24"/>
        </w:rPr>
        <w:t xml:space="preserve">Despite this scale, Indian citrus productivity remains significantly below global benchmarks—averaging approximately 12–15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per hectare compared to international averages exceeding 20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per hectare. This productivity gap is attributed to a confluence of biotic stresses, including pest and disease pressure, as well as persistent supply chain inefficiencies such as post-harvest losses, inadequate cold storage infrastructure, and fragmented marketing systems (Kadam &amp; Ghosh, 2024; Kumar et al., 2024). Institutional efforts to bridge this gap are ongoing: the ICAR-Central Citrus Research Institute has introduced elite, high-yielding varieties designed to enhance shelf life and improve global market appeal, though the adoption of such innovations remains uneven across geographies (Kadam &amp; Ghosh, 2024). These structural challenges at the national level are particularly pronounced in topographically complex regions, where conventional </w:t>
      </w:r>
      <w:r>
        <w:rPr>
          <w:rFonts w:ascii="Times New Roman" w:eastAsia="Times New Roman" w:hAnsi="Times New Roman" w:cs="Times New Roman"/>
          <w:sz w:val="24"/>
          <w:szCs w:val="24"/>
        </w:rPr>
        <w:lastRenderedPageBreak/>
        <w:t>agricultural infrastructure is limited—a reality that defines citrus cultivation in the hills of Uttarakhand.</w:t>
      </w:r>
    </w:p>
    <w:p w14:paraId="318DD51A" w14:textId="77777777" w:rsidR="00F56664" w:rsidRDefault="00F56664" w:rsidP="00F56664">
      <w:pPr>
        <w:pStyle w:val="Heading2"/>
      </w:pPr>
      <w:r>
        <w:t>Importance of Malta (</w:t>
      </w:r>
      <w:r>
        <w:rPr>
          <w:i/>
          <w:iCs/>
        </w:rPr>
        <w:t>Citrus sinensis</w:t>
      </w:r>
      <w:r>
        <w:t>)</w:t>
      </w:r>
    </w:p>
    <w:p w14:paraId="293511FA" w14:textId="77777777" w:rsidR="00F56664" w:rsidRDefault="00F56664" w:rsidP="00F56664">
      <w:pPr>
        <w:spacing w:after="160" w:line="360" w:lineRule="auto"/>
        <w:jc w:val="both"/>
      </w:pPr>
      <w:r>
        <w:rPr>
          <w:rFonts w:ascii="Times New Roman" w:eastAsia="Times New Roman" w:hAnsi="Times New Roman" w:cs="Times New Roman"/>
          <w:sz w:val="24"/>
          <w:szCs w:val="24"/>
        </w:rPr>
        <w:t>Among the diverse citrus varieties cultivated in India,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xml:space="preserve">)—a sweet orange variant—holds distinctive ecological and cultural significance in the hill districts of Uttarakhand. Prized for its rich vitamin content and characteristic sweet-sour </w:t>
      </w:r>
      <w:proofErr w:type="spellStart"/>
      <w:r>
        <w:rPr>
          <w:rFonts w:ascii="Times New Roman" w:eastAsia="Times New Roman" w:hAnsi="Times New Roman" w:cs="Times New Roman"/>
          <w:sz w:val="24"/>
          <w:szCs w:val="24"/>
        </w:rPr>
        <w:t>flavour</w:t>
      </w:r>
      <w:proofErr w:type="spellEnd"/>
      <w:r>
        <w:rPr>
          <w:rFonts w:ascii="Times New Roman" w:eastAsia="Times New Roman" w:hAnsi="Times New Roman" w:cs="Times New Roman"/>
          <w:sz w:val="24"/>
          <w:szCs w:val="24"/>
        </w:rPr>
        <w:t xml:space="preserve">, Malta is deeply embedded in the agricultural identity of the Garhwal region, where it thrives in the cool, subtropical microclimates of the middle Himalayan slopes (Goswami et al., 2020; Gairola et al., 2023). Studies of traditional </w:t>
      </w:r>
      <w:proofErr w:type="spellStart"/>
      <w:r>
        <w:rPr>
          <w:rFonts w:ascii="Times New Roman" w:eastAsia="Times New Roman" w:hAnsi="Times New Roman" w:cs="Times New Roman"/>
          <w:sz w:val="24"/>
          <w:szCs w:val="24"/>
        </w:rPr>
        <w:t>homegardens</w:t>
      </w:r>
      <w:proofErr w:type="spellEnd"/>
      <w:r>
        <w:rPr>
          <w:rFonts w:ascii="Times New Roman" w:eastAsia="Times New Roman" w:hAnsi="Times New Roman" w:cs="Times New Roman"/>
          <w:sz w:val="24"/>
          <w:szCs w:val="24"/>
        </w:rPr>
        <w:t xml:space="preserve"> in Tehri Garhwal reveal that Malta dominates the floristic composition of these agroforestry systems, with tree densities ranging from 106 to 313 trees per hectare and high importance value indices (128–216), indicating both its ecological prevalence and its centrality to household land use (Gairola et al., 2023). Under optimal agronomic conditions, Malta yields up to 19.8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per hectare and generates benefit-cost ratios as high as 3.86—figures that signal considerable economic promise (Gairola et al., 2023).</w:t>
      </w:r>
    </w:p>
    <w:p w14:paraId="73FF5AE4" w14:textId="77777777" w:rsidR="00F56664" w:rsidRDefault="00F56664" w:rsidP="00F56664">
      <w:pPr>
        <w:spacing w:after="160" w:line="360" w:lineRule="auto"/>
        <w:jc w:val="both"/>
      </w:pPr>
      <w:r>
        <w:rPr>
          <w:rFonts w:ascii="Times New Roman" w:eastAsia="Times New Roman" w:hAnsi="Times New Roman" w:cs="Times New Roman"/>
          <w:sz w:val="24"/>
          <w:szCs w:val="24"/>
        </w:rPr>
        <w:t xml:space="preserve">However, this potential remains largely unrealized at a commercial scale. Malta cultivation is predominantly confined to scattered kitchen gardens and informal </w:t>
      </w:r>
      <w:proofErr w:type="spellStart"/>
      <w:r>
        <w:rPr>
          <w:rFonts w:ascii="Times New Roman" w:eastAsia="Times New Roman" w:hAnsi="Times New Roman" w:cs="Times New Roman"/>
          <w:sz w:val="24"/>
          <w:szCs w:val="24"/>
        </w:rPr>
        <w:t>homegardens</w:t>
      </w:r>
      <w:proofErr w:type="spellEnd"/>
      <w:r>
        <w:rPr>
          <w:rFonts w:ascii="Times New Roman" w:eastAsia="Times New Roman" w:hAnsi="Times New Roman" w:cs="Times New Roman"/>
          <w:sz w:val="24"/>
          <w:szCs w:val="24"/>
        </w:rPr>
        <w:t xml:space="preserve"> rather than organized orchards, and the crop receives limited attention from formal agricultural support systems. The absence of processing facilities, value-addition infrastructure, and reliable market linkages means that most produce either enters local markets at low prices or is simply consumed within the household (Goswami et al., 2020). The gap between Malta's demonstrated productivity and its actual market performance points directly to structural weaknesses in the agricultural economy of the region—weaknesses that are rooted in broader patterns of underdevelopment in Garhwal's rural hinterland.</w:t>
      </w:r>
    </w:p>
    <w:p w14:paraId="264ECA13" w14:textId="77777777" w:rsidR="00F56664" w:rsidRDefault="00F56664" w:rsidP="00F56664">
      <w:pPr>
        <w:pStyle w:val="Heading2"/>
      </w:pPr>
      <w:r>
        <w:t>Agricultural Economy of the Garhwal Region</w:t>
      </w:r>
    </w:p>
    <w:p w14:paraId="37AB0E4C" w14:textId="77777777" w:rsidR="00F56664" w:rsidRDefault="00F56664" w:rsidP="00F56664">
      <w:pPr>
        <w:spacing w:after="160" w:line="360" w:lineRule="auto"/>
        <w:jc w:val="both"/>
      </w:pPr>
      <w:r>
        <w:rPr>
          <w:rFonts w:ascii="Times New Roman" w:eastAsia="Times New Roman" w:hAnsi="Times New Roman" w:cs="Times New Roman"/>
          <w:sz w:val="24"/>
          <w:szCs w:val="24"/>
        </w:rPr>
        <w:t xml:space="preserve">The agricultural economy of the Garhwal Himalaya is characterized by fragile, terrain-constrained smallholder farming that has faced intensifying stress over the past two decades. Cereal cultivation, which historically anchored household food security across the region, has witnessed a decline of over 50% in area, production, and productivity since the turn of the millennium—a trajectory driven by the compounding pressures of climate change, progressive land fragmentation, wildlife </w:t>
      </w:r>
      <w:r>
        <w:rPr>
          <w:rFonts w:ascii="Times New Roman" w:eastAsia="Times New Roman" w:hAnsi="Times New Roman" w:cs="Times New Roman"/>
          <w:sz w:val="24"/>
          <w:szCs w:val="24"/>
        </w:rPr>
        <w:lastRenderedPageBreak/>
        <w:t>depredation, and large-scale out-migration of the economically active population (Negi et al., 2023; Nautiyal et al., 2012). This agrarian distress has created urgent imperatives for economic diversification, particularly towards high-value cash crops that offer stronger returns on limited land resources.</w:t>
      </w:r>
    </w:p>
    <w:p w14:paraId="385059D1" w14:textId="77777777" w:rsidR="00F56664" w:rsidRDefault="00F56664" w:rsidP="00F56664">
      <w:pPr>
        <w:spacing w:after="160" w:line="360" w:lineRule="auto"/>
        <w:jc w:val="both"/>
      </w:pPr>
      <w:r>
        <w:rPr>
          <w:rFonts w:ascii="Times New Roman" w:eastAsia="Times New Roman" w:hAnsi="Times New Roman" w:cs="Times New Roman"/>
          <w:sz w:val="24"/>
          <w:szCs w:val="24"/>
        </w:rPr>
        <w:t>Horticultural diversification—and citrus cultivation in particular—emerges as a viable and well-documented pathway out of this subsistence trap. Malta-based agroforestry systems have demonstrated superior financial performance relative to traditional cereal-based agriculture, even amid the ecological fragility and infrastructural limitations that define Garhwal's farming landscape (Gairola et al., 2023; Negi et al., 2023). Yet, the transition from subsistence horticulture to commercially oriented production has been impeded by chronic infrastructure deficits—poor rural road connectivity, absence of grading and packing facilities, lack of institutional credit, and limited access to organized markets—all of which inflate transaction costs and erode the margins that make commercial cultivation attractive (Nautiyal et al., 2012). The critical constraint, therefore, is not productive capacity but market access: specifically, the efficiency and structure of the distribution channels through which Malta must travel from farm to consumer.</w:t>
      </w:r>
    </w:p>
    <w:p w14:paraId="7D928974" w14:textId="77777777" w:rsidR="00F56664" w:rsidRDefault="00F56664" w:rsidP="00F56664">
      <w:pPr>
        <w:pStyle w:val="Heading2"/>
      </w:pPr>
      <w:r>
        <w:t>Role of Distribution Channels in Agricultural Marketing</w:t>
      </w:r>
    </w:p>
    <w:p w14:paraId="79B021DF" w14:textId="77777777" w:rsidR="00F56664" w:rsidRDefault="00F56664" w:rsidP="00F56664">
      <w:pPr>
        <w:spacing w:after="160" w:line="360" w:lineRule="auto"/>
        <w:jc w:val="both"/>
      </w:pPr>
      <w:r>
        <w:rPr>
          <w:rFonts w:ascii="Times New Roman" w:eastAsia="Times New Roman" w:hAnsi="Times New Roman" w:cs="Times New Roman"/>
          <w:sz w:val="24"/>
          <w:szCs w:val="24"/>
        </w:rPr>
        <w:t>Distribution channels occupy a pivotal role in determining the economic viability of citrus cultivation for smallholder producers. As a highly perishable commodity, Malta is particularly vulnerable to losses incurred at each node of a multi-intermediary supply chain, making channel structure a direct determinant of producer income, price stability, and overall marketing efficiency (Senthil Kumar et al., 2025; Gairola et al., 2023). In well-functioning marketing systems, producers can expect to retain 60–70% of the final consumer price; in practice, however, the involvement of multiple intermediaries—contractors, commission agents, wholesalers, and retailers—often compresses producer margins substantially (Gairola et al., 2023).</w:t>
      </w:r>
    </w:p>
    <w:p w14:paraId="75105614" w14:textId="77777777" w:rsidR="00F56664" w:rsidRDefault="00F56664" w:rsidP="00F56664">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Uttarakhand, the prevalent distribution pathways for Malta include direct producer-to-consumer sales and channels mediated through contractors and local shopkeepers. While shorter channels yield higher net returns to farmers, their adoption remains limited—estimated at 35–40% of transactions—owing to access barriers such as remoteness, lack of collective bargaining capacity, and inadequate post-harvest handling infrastructure (Gairola et al., 2023). Emerging models </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on farmer producer organizations offer a promising corrective, with the potential to </w:t>
      </w:r>
      <w:r>
        <w:rPr>
          <w:rFonts w:ascii="Times New Roman" w:eastAsia="Times New Roman" w:hAnsi="Times New Roman" w:cs="Times New Roman"/>
          <w:sz w:val="24"/>
          <w:szCs w:val="24"/>
        </w:rPr>
        <w:lastRenderedPageBreak/>
        <w:t>rationalize channel length, improve grading and transportation standards, and substantially enhance farmer income in remote hill regions (Senthil Kumar et al., 2025). Understanding the structure, efficiency, and distributional equity of existing channels is therefore a prerequisite for evidence-based intervention—and forms the central analytical focus of the present study.</w:t>
      </w:r>
    </w:p>
    <w:p w14:paraId="1147FE18" w14:textId="77777777" w:rsidR="00F56664" w:rsidRDefault="00F56664" w:rsidP="00F56664">
      <w:pPr>
        <w:pStyle w:val="Heading1"/>
      </w:pPr>
      <w:r>
        <w:t xml:space="preserve">1.2 Significance of Malta (Citrus sinensis) in Garhwal's </w:t>
      </w:r>
      <w:proofErr w:type="spellStart"/>
      <w:r>
        <w:t>Agro</w:t>
      </w:r>
      <w:proofErr w:type="spellEnd"/>
      <w:r>
        <w:t>-Economy</w:t>
      </w:r>
    </w:p>
    <w:p w14:paraId="11EB944C" w14:textId="77777777" w:rsidR="00F56664" w:rsidRDefault="00F56664" w:rsidP="00F56664">
      <w:pPr>
        <w:spacing w:after="180" w:line="360" w:lineRule="auto"/>
        <w:jc w:val="both"/>
      </w:pPr>
      <w:r>
        <w:rPr>
          <w:rFonts w:ascii="Times New Roman" w:eastAsia="Times New Roman" w:hAnsi="Times New Roman" w:cs="Times New Roman"/>
          <w:sz w:val="24"/>
          <w:szCs w:val="24"/>
        </w:rPr>
        <w:t>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occupies a uniquely important position in the agricultural economy of the Garhwal Himalaya—one that can be understood along four interconnected dimensions: productive capacity, economic return, employment generation, and export potential. Together, these dimensions construct a compelling case for Malta not merely as a supplementary household crop but as a structurally significant driver of rural diversification in a region where conventional agriculture is in measurable decline. The following subsections examine each dimension in turn, building toward an understanding of why the efficiency of Malta's distribution and marketing system is a question of genuine economic consequence.</w:t>
      </w:r>
    </w:p>
    <w:p w14:paraId="15A4D638" w14:textId="77777777" w:rsidR="00F56664" w:rsidRDefault="00F56664" w:rsidP="00F56664">
      <w:pPr>
        <w:pStyle w:val="Heading2"/>
      </w:pPr>
      <w:r>
        <w:t>Production Statistics and Agronomic Profile</w:t>
      </w:r>
    </w:p>
    <w:p w14:paraId="6FBAD511" w14:textId="77777777" w:rsidR="00F56664" w:rsidRDefault="00F56664" w:rsidP="00F56664">
      <w:pPr>
        <w:spacing w:after="180" w:line="360" w:lineRule="auto"/>
        <w:jc w:val="both"/>
      </w:pPr>
      <w:r>
        <w:rPr>
          <w:rFonts w:ascii="Times New Roman" w:eastAsia="Times New Roman" w:hAnsi="Times New Roman" w:cs="Times New Roman"/>
          <w:sz w:val="24"/>
          <w:szCs w:val="24"/>
        </w:rPr>
        <w:t xml:space="preserve">The productive potential of Malta cultivation in Garhwal is well-documented and statistically robust. Orchards in Tehri Garhwal exhibit tree densities ranging from 106 to 313 stems per hectare, with importance value indices (IVI) of 128–216, confirming Malta's dominance as the leading fruit species across surveyed </w:t>
      </w:r>
      <w:proofErr w:type="spellStart"/>
      <w:r>
        <w:rPr>
          <w:rFonts w:ascii="Times New Roman" w:eastAsia="Times New Roman" w:hAnsi="Times New Roman" w:cs="Times New Roman"/>
          <w:sz w:val="24"/>
          <w:szCs w:val="24"/>
        </w:rPr>
        <w:t>homegardens</w:t>
      </w:r>
      <w:proofErr w:type="spellEnd"/>
      <w:r>
        <w:rPr>
          <w:rFonts w:ascii="Times New Roman" w:eastAsia="Times New Roman" w:hAnsi="Times New Roman" w:cs="Times New Roman"/>
          <w:sz w:val="24"/>
          <w:szCs w:val="24"/>
        </w:rPr>
        <w:t xml:space="preserve"> at both lower (1,300–1,500 m) and upper (1,500–1,700 m) elevations (Gairola et al., 2023). Productivity peaks at 19.84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per hectare in high-performing upper-elevation sites such as </w:t>
      </w:r>
      <w:proofErr w:type="spellStart"/>
      <w:r>
        <w:rPr>
          <w:rFonts w:ascii="Times New Roman" w:eastAsia="Times New Roman" w:hAnsi="Times New Roman" w:cs="Times New Roman"/>
          <w:sz w:val="24"/>
          <w:szCs w:val="24"/>
        </w:rPr>
        <w:t>Dargi</w:t>
      </w:r>
      <w:proofErr w:type="spellEnd"/>
      <w:r>
        <w:rPr>
          <w:rFonts w:ascii="Times New Roman" w:eastAsia="Times New Roman" w:hAnsi="Times New Roman" w:cs="Times New Roman"/>
          <w:sz w:val="24"/>
          <w:szCs w:val="24"/>
        </w:rPr>
        <w:t xml:space="preserve"> village, though yields vary considerably across locations owing to differences in soil quality, management practices, and microclimate conditions—a variability that itself underscores the role of institutional and technical support in realizing Malta's productive ceiling (Gairola et al., 2023).</w:t>
      </w:r>
    </w:p>
    <w:p w14:paraId="6D8CEC40" w14:textId="77777777" w:rsidR="00F56664" w:rsidRDefault="00F56664" w:rsidP="00F56664">
      <w:pPr>
        <w:spacing w:after="180" w:line="360" w:lineRule="auto"/>
        <w:jc w:val="both"/>
      </w:pPr>
      <w:r>
        <w:rPr>
          <w:rFonts w:ascii="Times New Roman" w:eastAsia="Times New Roman" w:hAnsi="Times New Roman" w:cs="Times New Roman"/>
          <w:sz w:val="24"/>
          <w:szCs w:val="24"/>
        </w:rPr>
        <w:t xml:space="preserve">At the regional scale, Garhwal's contribution to Uttarakhand's citrus economy is dominant rather than marginal: the region accounts for over 50% of the state's total citrus area (estimated at 13,755 hectares in 2010–11) and a proportionate share of production, with </w:t>
      </w:r>
      <w:proofErr w:type="spellStart"/>
      <w:r>
        <w:rPr>
          <w:rFonts w:ascii="Times New Roman" w:eastAsia="Times New Roman" w:hAnsi="Times New Roman" w:cs="Times New Roman"/>
          <w:sz w:val="24"/>
          <w:szCs w:val="24"/>
        </w:rPr>
        <w:t>Rudraprayag</w:t>
      </w:r>
      <w:proofErr w:type="spellEnd"/>
      <w:r>
        <w:rPr>
          <w:rFonts w:ascii="Times New Roman" w:eastAsia="Times New Roman" w:hAnsi="Times New Roman" w:cs="Times New Roman"/>
          <w:sz w:val="24"/>
          <w:szCs w:val="24"/>
        </w:rPr>
        <w:t xml:space="preserve"> district alone contributing approximately 45% of regional output at 30,938 metric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(Gairola et al., 2023). These figures situate Malta not as a niche local crop but as a commodity of sub-regional agricultural significance—one whose performance has cascading implications for rural incomes, </w:t>
      </w:r>
      <w:r>
        <w:rPr>
          <w:rFonts w:ascii="Times New Roman" w:eastAsia="Times New Roman" w:hAnsi="Times New Roman" w:cs="Times New Roman"/>
          <w:sz w:val="24"/>
          <w:szCs w:val="24"/>
        </w:rPr>
        <w:lastRenderedPageBreak/>
        <w:t>land use, and food security across the Garhwal belt. This productive scale, however, is only meaningful insofar as it translates into genuine economic returns at the farm level, a question to which the evidence provides an instructive and geographically differentiated answer.</w:t>
      </w:r>
    </w:p>
    <w:p w14:paraId="525055D9" w14:textId="77777777" w:rsidR="00F56664" w:rsidRDefault="00F56664" w:rsidP="00F56664">
      <w:pPr>
        <w:pStyle w:val="Heading2"/>
      </w:pPr>
      <w:r>
        <w:t>Economic Contribution and Farm-Level Returns</w:t>
      </w:r>
    </w:p>
    <w:p w14:paraId="6EFA56BF" w14:textId="77777777" w:rsidR="00F56664" w:rsidRDefault="00F56664" w:rsidP="00F56664">
      <w:pPr>
        <w:spacing w:after="180" w:line="360" w:lineRule="auto"/>
        <w:jc w:val="both"/>
      </w:pPr>
      <w:r>
        <w:rPr>
          <w:rFonts w:ascii="Times New Roman" w:eastAsia="Times New Roman" w:hAnsi="Times New Roman" w:cs="Times New Roman"/>
          <w:sz w:val="24"/>
          <w:szCs w:val="24"/>
        </w:rPr>
        <w:t xml:space="preserve">The financial performance of Malta cultivation varies substantially by location, revealing a wide spectrum of economic outcomes that is both encouraging and cautionary. At high-performing sites such as </w:t>
      </w:r>
      <w:proofErr w:type="spellStart"/>
      <w:r>
        <w:rPr>
          <w:rFonts w:ascii="Times New Roman" w:eastAsia="Times New Roman" w:hAnsi="Times New Roman" w:cs="Times New Roman"/>
          <w:sz w:val="24"/>
          <w:szCs w:val="24"/>
        </w:rPr>
        <w:t>Dargi</w:t>
      </w:r>
      <w:proofErr w:type="spellEnd"/>
      <w:r>
        <w:rPr>
          <w:rFonts w:ascii="Times New Roman" w:eastAsia="Times New Roman" w:hAnsi="Times New Roman" w:cs="Times New Roman"/>
          <w:sz w:val="24"/>
          <w:szCs w:val="24"/>
        </w:rPr>
        <w:t xml:space="preserve"> village in Tehri Garhwal, gross returns reach approximately ₹2,97,660 per hectare, with net returns of ₹2,12,155 per hectare—figures that compare </w:t>
      </w:r>
      <w:proofErr w:type="spellStart"/>
      <w:r>
        <w:rPr>
          <w:rFonts w:ascii="Times New Roman" w:eastAsia="Times New Roman" w:hAnsi="Times New Roman" w:cs="Times New Roman"/>
          <w:sz w:val="24"/>
          <w:szCs w:val="24"/>
        </w:rPr>
        <w:t>favourably</w:t>
      </w:r>
      <w:proofErr w:type="spellEnd"/>
      <w:r>
        <w:rPr>
          <w:rFonts w:ascii="Times New Roman" w:eastAsia="Times New Roman" w:hAnsi="Times New Roman" w:cs="Times New Roman"/>
          <w:sz w:val="24"/>
          <w:szCs w:val="24"/>
        </w:rPr>
        <w:t xml:space="preserve"> with most competing land uses in the region (Gairola et al., 2023). </w:t>
      </w:r>
      <w:proofErr w:type="spellStart"/>
      <w:r>
        <w:rPr>
          <w:rFonts w:ascii="Times New Roman" w:eastAsia="Times New Roman" w:hAnsi="Times New Roman" w:cs="Times New Roman"/>
          <w:sz w:val="24"/>
          <w:szCs w:val="24"/>
        </w:rPr>
        <w:t>Budogi</w:t>
      </w:r>
      <w:proofErr w:type="spellEnd"/>
      <w:r>
        <w:rPr>
          <w:rFonts w:ascii="Times New Roman" w:eastAsia="Times New Roman" w:hAnsi="Times New Roman" w:cs="Times New Roman"/>
          <w:sz w:val="24"/>
          <w:szCs w:val="24"/>
        </w:rPr>
        <w:t xml:space="preserve"> village records the most </w:t>
      </w:r>
      <w:proofErr w:type="spellStart"/>
      <w:r>
        <w:rPr>
          <w:rFonts w:ascii="Times New Roman" w:eastAsia="Times New Roman" w:hAnsi="Times New Roman" w:cs="Times New Roman"/>
          <w:sz w:val="24"/>
          <w:szCs w:val="24"/>
        </w:rPr>
        <w:t>favourable</w:t>
      </w:r>
      <w:proofErr w:type="spellEnd"/>
      <w:r>
        <w:rPr>
          <w:rFonts w:ascii="Times New Roman" w:eastAsia="Times New Roman" w:hAnsi="Times New Roman" w:cs="Times New Roman"/>
          <w:sz w:val="24"/>
          <w:szCs w:val="24"/>
        </w:rPr>
        <w:t xml:space="preserve"> benefit-cost ratio at 3.86, indicating that for every rupee invested, nearly four are returned—a return profile that would be considered exceptional in most smallholder farming contexts (Gairola et al., 2023). At the lower end of the performance spectrum, however, sites like </w:t>
      </w:r>
      <w:proofErr w:type="spellStart"/>
      <w:r>
        <w:rPr>
          <w:rFonts w:ascii="Times New Roman" w:eastAsia="Times New Roman" w:hAnsi="Times New Roman" w:cs="Times New Roman"/>
          <w:sz w:val="24"/>
          <w:szCs w:val="24"/>
        </w:rPr>
        <w:t>Jagdhar</w:t>
      </w:r>
      <w:proofErr w:type="spellEnd"/>
      <w:r>
        <w:rPr>
          <w:rFonts w:ascii="Times New Roman" w:eastAsia="Times New Roman" w:hAnsi="Times New Roman" w:cs="Times New Roman"/>
          <w:sz w:val="24"/>
          <w:szCs w:val="24"/>
        </w:rPr>
        <w:t xml:space="preserve"> generate gross returns of only ₹77,592 per hectare, a net return of ₹9,864 per hectare, and a benefit-cost ratio of just 1.27—a reminder that Malta's economic promise is not uniformly distributed and that agronomic and infrastructural conditions critically shape outcomes (Gairola et al., 2023).</w:t>
      </w:r>
    </w:p>
    <w:p w14:paraId="14DED354" w14:textId="77777777" w:rsidR="00F56664" w:rsidRDefault="00F56664" w:rsidP="00F56664">
      <w:pPr>
        <w:spacing w:after="180" w:line="360" w:lineRule="auto"/>
        <w:jc w:val="both"/>
      </w:pPr>
      <w:r>
        <w:rPr>
          <w:rFonts w:ascii="Times New Roman" w:eastAsia="Times New Roman" w:hAnsi="Times New Roman" w:cs="Times New Roman"/>
          <w:sz w:val="24"/>
          <w:szCs w:val="24"/>
        </w:rPr>
        <w:t>Beyond primary production, value chain interventions have demonstrated substantial capacity to amplify farm incomes. Where cooperative models have been successfully implemented—processing Malta into juice, marmalade, and essential oils from fruit peel—farmer incomes have increased by an estimated 20–50% through a combination of reduced dependence on intermediary traders and more complete utilization of the fruit (Nautiyal et al., 2015). This evidence from existing interventions is directly relevant to the present study: it suggests that the economic gap between high- and low-performing Malta producers is not merely a function of agronomic conditions but is substantially mediated by the structure and efficiency of the marketing and distribution system through which the crop is sold. It is this system—the distribution channel—that the present study seeks to examine.</w:t>
      </w:r>
    </w:p>
    <w:p w14:paraId="435DED3F" w14:textId="77777777" w:rsidR="00F56664" w:rsidRDefault="00F56664" w:rsidP="00F56664">
      <w:pPr>
        <w:pStyle w:val="Heading2"/>
      </w:pPr>
      <w:r>
        <w:t>Employment Generation and Social Dimensions</w:t>
      </w:r>
    </w:p>
    <w:p w14:paraId="0563586A" w14:textId="77777777" w:rsidR="00F56664" w:rsidRDefault="00F56664" w:rsidP="00F56664">
      <w:pPr>
        <w:spacing w:after="180" w:line="360" w:lineRule="auto"/>
        <w:jc w:val="both"/>
      </w:pPr>
      <w:r>
        <w:rPr>
          <w:rFonts w:ascii="Times New Roman" w:eastAsia="Times New Roman" w:hAnsi="Times New Roman" w:cs="Times New Roman"/>
          <w:sz w:val="24"/>
          <w:szCs w:val="24"/>
        </w:rPr>
        <w:t xml:space="preserve">Malta's economic significance extends beyond farm gate returns to encompass broader rural employment dynamics, particularly for women and for households otherwise exposed to the vulnerabilities of agricultural out-migration. In Chamoli district, enterprise development </w:t>
      </w:r>
      <w:proofErr w:type="spellStart"/>
      <w:r>
        <w:rPr>
          <w:rFonts w:ascii="Times New Roman" w:eastAsia="Times New Roman" w:hAnsi="Times New Roman" w:cs="Times New Roman"/>
          <w:sz w:val="24"/>
          <w:szCs w:val="24"/>
        </w:rPr>
        <w:lastRenderedPageBreak/>
        <w:t>programmes</w:t>
      </w:r>
      <w:proofErr w:type="spellEnd"/>
      <w:r>
        <w:rPr>
          <w:rFonts w:ascii="Times New Roman" w:eastAsia="Times New Roman" w:hAnsi="Times New Roman" w:cs="Times New Roman"/>
          <w:sz w:val="24"/>
          <w:szCs w:val="24"/>
        </w:rPr>
        <w:t xml:space="preserve"> built around Malta processing have created structured employment opportunities across the collection, sorting, and marketing phases of the value chain, with self-help groups (SHGs) of 20–30 women members playing a central organizational role (Scribd, 2023). These groups, linked to common facility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procure fresh fruit from smallholder growers and process it into value-added products—juice concentrate, marmalade, squash, and peel oil—generating substantial off-season income that would otherwise be absent in a predominantly agrarian calendar.</w:t>
      </w:r>
    </w:p>
    <w:p w14:paraId="4F439BC5" w14:textId="77777777" w:rsidR="00F56664" w:rsidRDefault="00F56664" w:rsidP="00F56664">
      <w:pPr>
        <w:spacing w:after="180" w:line="360" w:lineRule="auto"/>
        <w:jc w:val="both"/>
      </w:pPr>
      <w:r>
        <w:rPr>
          <w:rFonts w:ascii="Times New Roman" w:eastAsia="Times New Roman" w:hAnsi="Times New Roman" w:cs="Times New Roman"/>
          <w:sz w:val="24"/>
          <w:szCs w:val="24"/>
        </w:rPr>
        <w:t xml:space="preserve">The significance of this employment dimension is amplified by the demographic context of Garhwal's rural economy. As working-age men migrate to urban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in search of wage employment, women increasingly bear responsibility for agricultural and household livelihoods. Malta-based processing enterprises have, in documented cases, provided this population with a financially meaningful and institutionally supported alternative—one that does not require seasonal migration and that builds local economic capacity (Nautiyal et al., 2015). This social dimension reinforces the case for treating Malta's value chain not simply as an agricultural marketing problem but as a development challenge with implications for gender equity, community resilience, and the sustainability of hill economies under demographic pressure. The potential for these gains to be realized at scale, however, remains contingent on the existence of efficient and equitable distribution systems—a contingency that brings the analytical focus back to the structure of marketing channels.</w:t>
      </w:r>
    </w:p>
    <w:p w14:paraId="6FBBB66C" w14:textId="77777777" w:rsidR="00F56664" w:rsidRDefault="00F56664" w:rsidP="00F56664">
      <w:pPr>
        <w:pStyle w:val="Heading2"/>
      </w:pPr>
      <w:r>
        <w:t>Export Potential and Policy Dimensions</w:t>
      </w:r>
    </w:p>
    <w:p w14:paraId="0F522F9E" w14:textId="77777777" w:rsidR="00F56664" w:rsidRDefault="00F56664" w:rsidP="00F56664">
      <w:pPr>
        <w:spacing w:after="180" w:line="360" w:lineRule="auto"/>
        <w:jc w:val="both"/>
      </w:pPr>
      <w:r>
        <w:rPr>
          <w:rFonts w:ascii="Times New Roman" w:eastAsia="Times New Roman" w:hAnsi="Times New Roman" w:cs="Times New Roman"/>
          <w:sz w:val="24"/>
          <w:szCs w:val="24"/>
        </w:rPr>
        <w:t>While Malta remains primarily oriented toward domestic markets, its distinctive organoleptic and nutritional profile creates a credible foundation for expanded market reach. The crop's vitamin-rich composition, its association with a geographically specific and increasingly valued regional identity, and growing consumer interest in naturally produced mountain foods together constitute a set of differentiation assets that could support premium positioning in metropolitan markets and, prospectively, in export channels (Garhwal Post, 2024). Urban market penetration—via regional food festivals, institutional procurement, and minimum support price mechanisms—represents a near-term opportunity to improve price realization for Garhwal's growers without necessitating the more complex logistics of international trade.</w:t>
      </w:r>
    </w:p>
    <w:p w14:paraId="5EF986E8" w14:textId="77777777" w:rsidR="00F56664" w:rsidRDefault="00F56664" w:rsidP="00F56664">
      <w:pPr>
        <w:spacing w:after="180" w:line="360" w:lineRule="auto"/>
        <w:jc w:val="both"/>
      </w:pPr>
      <w:r>
        <w:rPr>
          <w:rFonts w:ascii="Times New Roman" w:eastAsia="Times New Roman" w:hAnsi="Times New Roman" w:cs="Times New Roman"/>
          <w:sz w:val="24"/>
          <w:szCs w:val="24"/>
        </w:rPr>
        <w:lastRenderedPageBreak/>
        <w:t xml:space="preserve">In the longer term, the export potential of Malta-derived products—particularly essential oils extracted from citrus peel and specialty processed items such as marmalade and juice concentrate—aligns with rising global demand for herbal and naturally sourced ingredients in the cosmetics, nutraceutical, and specialty food sectors (Nautiyal et al., 2015). Recognizing this potential, the Government of Uttarakhand has initiated the Malta Mission, a policy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aimed at scaling the supply of disease-free planting material, building processing infrastructure, and developing a national marketing identity for Garhwal Malta (Garhwal Post, 2024). Should these initiatives be effectively implemented, they could position the region's Malta producers as participants in value chains that extend well beyond the current contractor-dominated local trade. The realization of this potential, however, is predicated on fundamental improvements to the base-level distribution and marketing system—the subject that this study directly addresses.</w:t>
      </w:r>
    </w:p>
    <w:p w14:paraId="507BEAA8" w14:textId="77777777" w:rsidR="00473085" w:rsidRDefault="00473085" w:rsidP="00473085">
      <w:pPr>
        <w:pStyle w:val="Heading1"/>
      </w:pPr>
      <w:r>
        <w:t>1.3 Distribution Channel Challenges</w:t>
      </w:r>
    </w:p>
    <w:p w14:paraId="3CE60114" w14:textId="77777777" w:rsidR="00473085" w:rsidRDefault="00473085" w:rsidP="00473085">
      <w:pPr>
        <w:spacing w:after="180" w:line="360" w:lineRule="auto"/>
        <w:jc w:val="both"/>
      </w:pPr>
      <w:r>
        <w:rPr>
          <w:rFonts w:ascii="Times New Roman" w:eastAsia="Times New Roman" w:hAnsi="Times New Roman" w:cs="Times New Roman"/>
          <w:sz w:val="24"/>
          <w:szCs w:val="24"/>
        </w:rPr>
        <w:t>The productive and economic potential of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documented in the preceding section does not translate automatically into farmer welfare. The intervening variable—the distribution and marketing system through which fruit moves from orchard to consumer—determines how much of that potential is actually captured at the farm level. In the Garhwal Himalaya, this system is characterized by structural fragmentation, institutional thinness, and chronic under-investment in post-harvest infrastructure, all of which interact to suppress producer margins, amplify physical losses, and exclude smallholders from higher-value markets (Choudhary, Kunwar, &amp; Rasul, 2015; Saxena &amp; Singh, n.d.). The following subsections trace these challenges in sequence—from the architecture of the current marketing system, through the structural bottlenecks that sustain it, to the physical and market-access consequences that flow from both.</w:t>
      </w:r>
    </w:p>
    <w:p w14:paraId="5EC43222" w14:textId="77777777" w:rsidR="00473085" w:rsidRDefault="00473085" w:rsidP="00473085">
      <w:pPr>
        <w:pStyle w:val="Heading2"/>
      </w:pPr>
      <w:r>
        <w:t>1.3.1 The Current Distribution System</w:t>
      </w:r>
    </w:p>
    <w:p w14:paraId="27C42256" w14:textId="77777777" w:rsidR="00473085" w:rsidRDefault="00473085" w:rsidP="00473085">
      <w:pPr>
        <w:spacing w:after="180" w:line="360" w:lineRule="auto"/>
        <w:jc w:val="both"/>
      </w:pPr>
      <w:r>
        <w:rPr>
          <w:rFonts w:ascii="Times New Roman" w:eastAsia="Times New Roman" w:hAnsi="Times New Roman" w:cs="Times New Roman"/>
          <w:sz w:val="24"/>
          <w:szCs w:val="24"/>
        </w:rPr>
        <w:t xml:space="preserve">Empirical research on Malta marketing in </w:t>
      </w:r>
      <w:proofErr w:type="spellStart"/>
      <w:r>
        <w:rPr>
          <w:rFonts w:ascii="Times New Roman" w:eastAsia="Times New Roman" w:hAnsi="Times New Roman" w:cs="Times New Roman"/>
          <w:sz w:val="24"/>
          <w:szCs w:val="24"/>
        </w:rPr>
        <w:t>Rudraprayag</w:t>
      </w:r>
      <w:proofErr w:type="spellEnd"/>
      <w:r>
        <w:rPr>
          <w:rFonts w:ascii="Times New Roman" w:eastAsia="Times New Roman" w:hAnsi="Times New Roman" w:cs="Times New Roman"/>
          <w:sz w:val="24"/>
          <w:szCs w:val="24"/>
        </w:rPr>
        <w:t xml:space="preserve"> and Chamoli districts identifies three principal distribution channels. The first, and by far the most prevalent, runs from the producer through a village commission agent or contractor to a wholesaler or retailer and finally to the consumer; more than two-thirds of Malta produce is sold through this pathway (Saxena &amp; Singh, n.d.). The second channel is shorter, linking the producer directly to a nearby local retailer, while </w:t>
      </w:r>
      <w:r>
        <w:rPr>
          <w:rFonts w:ascii="Times New Roman" w:eastAsia="Times New Roman" w:hAnsi="Times New Roman" w:cs="Times New Roman"/>
          <w:sz w:val="24"/>
          <w:szCs w:val="24"/>
        </w:rPr>
        <w:lastRenderedPageBreak/>
        <w:t xml:space="preserve">the third involves individual or cooperative direct sales to retailers or consumers—a </w:t>
      </w:r>
      <w:proofErr w:type="spellStart"/>
      <w:r>
        <w:rPr>
          <w:rFonts w:ascii="Times New Roman" w:eastAsia="Times New Roman" w:hAnsi="Times New Roman" w:cs="Times New Roman"/>
          <w:sz w:val="24"/>
          <w:szCs w:val="24"/>
        </w:rPr>
        <w:t>mode</w:t>
      </w:r>
      <w:proofErr w:type="spellEnd"/>
      <w:r>
        <w:rPr>
          <w:rFonts w:ascii="Times New Roman" w:eastAsia="Times New Roman" w:hAnsi="Times New Roman" w:cs="Times New Roman"/>
          <w:sz w:val="24"/>
          <w:szCs w:val="24"/>
        </w:rPr>
        <w:t xml:space="preserve"> that offers higher producer margins but remains weakly developed and adopted by only a minority of growers (Saxena &amp; Singh, n.d.; Choudhary et al., 2015).</w:t>
      </w:r>
    </w:p>
    <w:p w14:paraId="2A660ADF" w14:textId="77777777" w:rsidR="00473085" w:rsidRDefault="00473085" w:rsidP="00473085">
      <w:pPr>
        <w:spacing w:after="180" w:line="360" w:lineRule="auto"/>
        <w:jc w:val="both"/>
      </w:pPr>
      <w:r>
        <w:rPr>
          <w:rFonts w:ascii="Times New Roman" w:eastAsia="Times New Roman" w:hAnsi="Times New Roman" w:cs="Times New Roman"/>
          <w:sz w:val="24"/>
          <w:szCs w:val="24"/>
        </w:rPr>
        <w:t xml:space="preserve">The dominance of the first channel reflects not a </w:t>
      </w:r>
      <w:proofErr w:type="gramStart"/>
      <w:r>
        <w:rPr>
          <w:rFonts w:ascii="Times New Roman" w:eastAsia="Times New Roman" w:hAnsi="Times New Roman" w:cs="Times New Roman"/>
          <w:sz w:val="24"/>
          <w:szCs w:val="24"/>
        </w:rPr>
        <w:t>free market</w:t>
      </w:r>
      <w:proofErr w:type="gramEnd"/>
      <w:r>
        <w:rPr>
          <w:rFonts w:ascii="Times New Roman" w:eastAsia="Times New Roman" w:hAnsi="Times New Roman" w:cs="Times New Roman"/>
          <w:sz w:val="24"/>
          <w:szCs w:val="24"/>
        </w:rPr>
        <w:t xml:space="preserve"> equilibrium but a constrained one. Village traders and contractors organize the physical movement of fruit to distant markets, relieving farmers of direct transport cost and logistical burden—but at the price of price-setting power. Farmers in this channel are essentially price takers, accepting whatever the contractor offers at harvest time because viable alternatives are structurally unavailable to them (Choudhary et al., 2015). This pattern is reinforced by the state's unsuccessful attempt to introduce a minimum support price for Malta: despite the policy intention, poor implementation, inadequate procurement infrastructure, and absent linkages between farmers and formal marketing agencies meant the instrument had little practical effect (Choudhary et al., 2015). The result is a marketing architecture that is, in Choudhary et al.'s (2015) characterization, 'unorganized and inaccessible'—one that systematically redirects value away from producers and toward intermediaries. Understanding why this architecture is so durable requires examining the structural bottlenecks that underpin it.</w:t>
      </w:r>
    </w:p>
    <w:p w14:paraId="27BBC762" w14:textId="77777777" w:rsidR="00473085" w:rsidRDefault="00473085" w:rsidP="00473085">
      <w:pPr>
        <w:pStyle w:val="Heading2"/>
      </w:pPr>
      <w:r>
        <w:t>1.3.2 Structural Bottlenecks in the Marketing System</w:t>
      </w:r>
    </w:p>
    <w:p w14:paraId="69DCC12F" w14:textId="77777777" w:rsidR="00473085" w:rsidRDefault="00473085" w:rsidP="00473085">
      <w:pPr>
        <w:spacing w:after="180" w:line="360" w:lineRule="auto"/>
        <w:jc w:val="both"/>
      </w:pPr>
      <w:r>
        <w:rPr>
          <w:rFonts w:ascii="Times New Roman" w:eastAsia="Times New Roman" w:hAnsi="Times New Roman" w:cs="Times New Roman"/>
          <w:sz w:val="24"/>
          <w:szCs w:val="24"/>
        </w:rPr>
        <w:t xml:space="preserve">The contractor-dominated channel described above is not simply a historical accident but the predictable outcome of a set of compounding structural constraints. At the most fundamental level, the physical geography of Garhwal imposes real costs on any attempt by smallholders to access markets directly. Dispersed and fragmented holdings, difficult terrain, poor road connectivity, and long and unpredictable transport routes raise per-unit transaction and transport costs to levels </w:t>
      </w:r>
      <w:proofErr w:type="gramStart"/>
      <w:r>
        <w:rPr>
          <w:rFonts w:ascii="Times New Roman" w:eastAsia="Times New Roman" w:hAnsi="Times New Roman" w:cs="Times New Roman"/>
          <w:sz w:val="24"/>
          <w:szCs w:val="24"/>
        </w:rPr>
        <w:t>that individual farmers</w:t>
      </w:r>
      <w:proofErr w:type="gramEnd"/>
      <w:r>
        <w:rPr>
          <w:rFonts w:ascii="Times New Roman" w:eastAsia="Times New Roman" w:hAnsi="Times New Roman" w:cs="Times New Roman"/>
          <w:sz w:val="24"/>
          <w:szCs w:val="24"/>
        </w:rPr>
        <w:t>, operating with small marketable surpluses, cannot easily absorb (Saxena &amp; Singh, n.d.). The contractor steps into this space not as an exploiter but as a logistics provider—one who, in the absence of public infrastructure or collective farmer organization, becomes the only economically viable conduit between farm and market.</w:t>
      </w:r>
    </w:p>
    <w:p w14:paraId="54EC05F5" w14:textId="77777777" w:rsidR="00473085" w:rsidRDefault="00473085" w:rsidP="00473085">
      <w:pPr>
        <w:spacing w:after="180" w:line="360" w:lineRule="auto"/>
        <w:jc w:val="both"/>
      </w:pPr>
      <w:r>
        <w:rPr>
          <w:rFonts w:ascii="Times New Roman" w:eastAsia="Times New Roman" w:hAnsi="Times New Roman" w:cs="Times New Roman"/>
          <w:sz w:val="24"/>
          <w:szCs w:val="24"/>
        </w:rPr>
        <w:t xml:space="preserve">This dependence is compounded by the disorganized character of the marketing system itself. There is little systematic grading or standardization at the farm gate, market price information reaches farmers slowly and unreliably, and formal contracts between producers and buyers are virtually absent (Choudhary et al., 2015). In such an environment, farmers have limited means to verify whether the prices they receive are fair relative to market conditions, and limited recourse </w:t>
      </w:r>
      <w:r>
        <w:rPr>
          <w:rFonts w:ascii="Times New Roman" w:eastAsia="Times New Roman" w:hAnsi="Times New Roman" w:cs="Times New Roman"/>
          <w:sz w:val="24"/>
          <w:szCs w:val="24"/>
        </w:rPr>
        <w:lastRenderedPageBreak/>
        <w:t>when they are not. The institutional dimension of this bottleneck is equally significant: cooperatives and farmer producer organizations, which might otherwise provide collective bargaining capacity, are either weak, inactive, or absent across much of the Malta-growing belt; financial and technical services for post-harvest handling are minimal; and extension support on marketing decisions is sparse (Choudhary et al., 2015). Together, these structural conditions create a system that is not merely inefficient in a technical sense but actively disempowering for the growers at its base—and their material consequences become visible in the scale of post-harvest losses that the current system routinely generates.</w:t>
      </w:r>
    </w:p>
    <w:p w14:paraId="7DAD78B1" w14:textId="77777777" w:rsidR="00473085" w:rsidRDefault="00473085" w:rsidP="00473085">
      <w:pPr>
        <w:pStyle w:val="Heading2"/>
      </w:pPr>
      <w:r>
        <w:t>1.3.3 Post-Harvest Losses and Their Causes</w:t>
      </w:r>
    </w:p>
    <w:p w14:paraId="02FC25B3" w14:textId="77777777" w:rsidR="00473085" w:rsidRDefault="00473085" w:rsidP="00473085">
      <w:pPr>
        <w:spacing w:after="180" w:line="360" w:lineRule="auto"/>
        <w:jc w:val="both"/>
      </w:pPr>
      <w:r>
        <w:rPr>
          <w:rFonts w:ascii="Times New Roman" w:eastAsia="Times New Roman" w:hAnsi="Times New Roman" w:cs="Times New Roman"/>
          <w:sz w:val="24"/>
          <w:szCs w:val="24"/>
        </w:rPr>
        <w:t>A direct and measurable cost of the structural bottlenecks described above is the post-harvest loss that occurs as Malta moves through a poorly equipped and often lengthy supply chain. As a highly perishable citrus commodity, Malta is acutely sensitive to mechanical damage, temperature fluctuations, and transit delays—conditions that the current distribution system does not systematically manage. National-level reviews of fruit post-harvest management in India report losses ranging from 6% to 15% across commodities, depending on the efficiency of the supply chain and the physical properties of the crop involved (Post-Harvest Management of Fruits in India: A Review, 2024). For oranges specifically, a detailed supply chain study in Vidarbha found cumulative post-harvest losses of approximately 20.5% from farm to urban retail market, with the heaviest losses concentrated at the transport and wholesale stages due to inadequate packaging, rough handling, and the absence of cold storage facilities (A Study on the Hot Spot Identification of Losses in the Supply Chain of Oranges, 2014).</w:t>
      </w:r>
    </w:p>
    <w:p w14:paraId="1E3F0032" w14:textId="77777777" w:rsidR="00473085" w:rsidRDefault="00473085" w:rsidP="00473085">
      <w:pPr>
        <w:spacing w:after="180" w:line="360" w:lineRule="auto"/>
        <w:jc w:val="both"/>
      </w:pPr>
      <w:r>
        <w:rPr>
          <w:rFonts w:ascii="Times New Roman" w:eastAsia="Times New Roman" w:hAnsi="Times New Roman" w:cs="Times New Roman"/>
          <w:sz w:val="24"/>
          <w:szCs w:val="24"/>
        </w:rPr>
        <w:t xml:space="preserve">While quantitative estimates specific to Malta in Garhwal are limited, the qualitative evidence available from Uttarakhand points to an equivalent or potentially more severe loss profile. Improper grading and packing at the farm gate, the near-total absence of pre-cooling or refrigerated transport, the long and discontinuous road journeys that characterize movement from hill orchards to plains markets, and the limited local processing capacity that might otherwise absorb damaged or surplus fruit all contribute to avoidable physical and economic losses (Choudhary et al., 2015; Saxena &amp; Singh, n.d.). In mountain settings, where transit times are substantially longer than in plains agriculture and road conditions vary dramatically by season, damage during loading, unloading, and transit can be particularly severe. The downstream effect is a cycle of distress sales </w:t>
      </w:r>
      <w:r>
        <w:rPr>
          <w:rFonts w:ascii="Times New Roman" w:eastAsia="Times New Roman" w:hAnsi="Times New Roman" w:cs="Times New Roman"/>
          <w:sz w:val="24"/>
          <w:szCs w:val="24"/>
        </w:rPr>
        <w:lastRenderedPageBreak/>
        <w:t>and quality downgrading at terminal markets—outcomes that erode farm income, depress price expectations, and further entrench the farmer's dependence on a contractor-dominated system that, at the very least, guarantees purchase at harvest. This dynamic brings the analysis to its final and most encompassing dimension: the market access problem.</w:t>
      </w:r>
    </w:p>
    <w:p w14:paraId="71F75288" w14:textId="77777777" w:rsidR="00473085" w:rsidRDefault="00473085" w:rsidP="00473085">
      <w:pPr>
        <w:pStyle w:val="Heading2"/>
      </w:pPr>
      <w:r>
        <w:t>1.3.4 Market Access Constraints</w:t>
      </w:r>
    </w:p>
    <w:p w14:paraId="3826307B" w14:textId="77777777" w:rsidR="00473085" w:rsidRDefault="00473085" w:rsidP="00473085">
      <w:pPr>
        <w:spacing w:after="180" w:line="360" w:lineRule="auto"/>
        <w:jc w:val="both"/>
      </w:pPr>
      <w:r>
        <w:rPr>
          <w:rFonts w:ascii="Times New Roman" w:eastAsia="Times New Roman" w:hAnsi="Times New Roman" w:cs="Times New Roman"/>
          <w:sz w:val="24"/>
          <w:szCs w:val="24"/>
        </w:rPr>
        <w:t>Market access for Malta producers in Garhwal is constrained along two distinct but mutually reinforcing axes: the physical and the institutional. Physically, the combination of dispersed production in remote villages, seasonal road blockages, and high freight charges effectively places larger mandis and urban wholesale markets out of reach for individual growers attempting to sell independently (Saxena &amp; Singh, n.d.). A farmer who cannot guarantee delivery of an undamaged, adequately graded consignment to a distant market within a commercially viable timeframe has no meaningful choice but to sell at the farm gate—where the contractor, not the farmer, sets the price. This is not a negotiating position; it is a structural trap.</w:t>
      </w:r>
    </w:p>
    <w:p w14:paraId="2C1EA8F0" w14:textId="77777777" w:rsidR="00473085" w:rsidRDefault="00473085" w:rsidP="00473085">
      <w:pPr>
        <w:spacing w:after="180" w:line="360" w:lineRule="auto"/>
        <w:jc w:val="both"/>
      </w:pPr>
      <w:r>
        <w:rPr>
          <w:rFonts w:ascii="Times New Roman" w:eastAsia="Times New Roman" w:hAnsi="Times New Roman" w:cs="Times New Roman"/>
          <w:sz w:val="24"/>
          <w:szCs w:val="24"/>
        </w:rPr>
        <w:t>Institutionally, the constraints are equally binding. Weak farmer organizations limit collective bargaining capacity; inadequate extension services leave growers without reliable guidance on marketing timing, grading, or pricing; and limited real-time price information prevents farmers from making informed decisions about when and where to sell (Choudhary et al., 2015). The consequences of these institutional deficits are not merely economic but developmental: they prevent producers from participating in the higher-value urban, processed, or branded market segments that, as the previous section established, hold substantial potential for income augmentation.</w:t>
      </w:r>
    </w:p>
    <w:p w14:paraId="2F43D941" w14:textId="77777777" w:rsidR="00473085" w:rsidRDefault="00473085" w:rsidP="00473085">
      <w:pPr>
        <w:spacing w:after="180" w:line="360" w:lineRule="auto"/>
        <w:jc w:val="both"/>
      </w:pPr>
      <w:r>
        <w:rPr>
          <w:rFonts w:ascii="Times New Roman" w:eastAsia="Times New Roman" w:hAnsi="Times New Roman" w:cs="Times New Roman"/>
          <w:sz w:val="24"/>
          <w:szCs w:val="24"/>
        </w:rPr>
        <w:t xml:space="preserve">Critically, Choudhary et al. (2015) demonstrate that these constraints are not geographic inevitabilities but institutional failures capable of being reversed. In Chamoli district, prior to the establishment of processing units, common facility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and producer groups, Malta farmers had little or no access to value-added markets. Once these institutional structures were put in place, the bargaining power and market reach of participating farmers improved substantially—suggesting that the current state of market exclusion is contingent rather than structural in any permanent sense. This finding is directly relevant to the present study: it implies that the distribution channels currently operating for Malta in Garhwal are not optimal, and that empirically grounded analysis of their structure, efficiency, and equity is a necessary precondition for </w:t>
      </w:r>
      <w:r>
        <w:rPr>
          <w:rFonts w:ascii="Times New Roman" w:eastAsia="Times New Roman" w:hAnsi="Times New Roman" w:cs="Times New Roman"/>
          <w:sz w:val="24"/>
          <w:szCs w:val="24"/>
        </w:rPr>
        <w:lastRenderedPageBreak/>
        <w:t>designing the interventions—institutional, infrastructural, or policy-based—that could close the gap between the crop's demonstrated potential and its realized returns.</w:t>
      </w:r>
    </w:p>
    <w:p w14:paraId="6FAB3734" w14:textId="77777777" w:rsidR="00EB4C95" w:rsidRDefault="00EB4C95" w:rsidP="00EB4C95">
      <w:pPr>
        <w:pStyle w:val="Heading1"/>
      </w:pPr>
      <w:r>
        <w:t>1.4 Research Gap</w:t>
      </w:r>
    </w:p>
    <w:p w14:paraId="1671CB91" w14:textId="77777777" w:rsidR="00EB4C95" w:rsidRDefault="00EB4C95" w:rsidP="00EB4C95">
      <w:pPr>
        <w:spacing w:after="180" w:line="360" w:lineRule="auto"/>
        <w:jc w:val="both"/>
      </w:pPr>
      <w:r>
        <w:rPr>
          <w:rFonts w:ascii="Times New Roman" w:eastAsia="Times New Roman" w:hAnsi="Times New Roman" w:cs="Times New Roman"/>
          <w:sz w:val="24"/>
          <w:szCs w:val="24"/>
        </w:rPr>
        <w:t>The preceding sections have established three converging realities: that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xml:space="preserve">) possesses demonstrated productive and economic value in the Garhwal Himalaya; that its marketing system is structurally fragmented, institutionally thin, and systematically </w:t>
      </w:r>
      <w:proofErr w:type="spellStart"/>
      <w:r>
        <w:rPr>
          <w:rFonts w:ascii="Times New Roman" w:eastAsia="Times New Roman" w:hAnsi="Times New Roman" w:cs="Times New Roman"/>
          <w:sz w:val="24"/>
          <w:szCs w:val="24"/>
        </w:rPr>
        <w:t>unfavourable</w:t>
      </w:r>
      <w:proofErr w:type="spellEnd"/>
      <w:r>
        <w:rPr>
          <w:rFonts w:ascii="Times New Roman" w:eastAsia="Times New Roman" w:hAnsi="Times New Roman" w:cs="Times New Roman"/>
          <w:sz w:val="24"/>
          <w:szCs w:val="24"/>
        </w:rPr>
        <w:t xml:space="preserve"> to producers; and that the physical and market-access consequences of this system — post-harvest losses, price subordination, and exclusion from higher-value outlets — are well-documented in the qualitative literature. What the literature has not yet provided is an analytically grounded, multi-district account of the specific factors that determine whether and how that distribution system can be optimized. This gap is not a failure of prior scholarship — existing studies have achieved precisely what they set out to do — but rather the natural frontier of a body of work that has been primarily descriptive in its orientation and narrowly bounded in its geographic scope. Identifying this frontier with precision is the purpose of the present section.</w:t>
      </w:r>
    </w:p>
    <w:p w14:paraId="269B2EF4" w14:textId="77777777" w:rsidR="00EB4C95" w:rsidRDefault="00EB4C95" w:rsidP="00EB4C95">
      <w:pPr>
        <w:pStyle w:val="Heading2"/>
      </w:pPr>
      <w:r>
        <w:t>1.4.1 What Existing Studies Have Established and Where They Stop</w:t>
      </w:r>
    </w:p>
    <w:p w14:paraId="2A64FFBD" w14:textId="77777777" w:rsidR="00EB4C95" w:rsidRDefault="00EB4C95" w:rsidP="00EB4C95">
      <w:pPr>
        <w:spacing w:after="180" w:line="360" w:lineRule="auto"/>
        <w:jc w:val="both"/>
      </w:pPr>
      <w:r>
        <w:rPr>
          <w:rFonts w:ascii="Times New Roman" w:eastAsia="Times New Roman" w:hAnsi="Times New Roman" w:cs="Times New Roman"/>
          <w:sz w:val="24"/>
          <w:szCs w:val="24"/>
        </w:rPr>
        <w:t>The foundational contribution of existing research on Malta marketing lies in its systematic documentation of the channel structures, cost profiles, and efficiency metrics that characterize the trade in Garhwal and Uttarakhand more broadly. Studies such as those by Saxena and Singh (2015) and Gairola et al. (2023) have mapped the three principal distribution channels through which Malta moves from producer to consumer, computed price spreads and producer shares across these channels, and identified the physical and organizational constraints — poor road connectivity, absent grading infrastructure, and intermediary dominance — that shape marketing outcomes. This body of work provides an indispensable empirical baseline and confirms, at a descriptive level, that significant efficiency differentials exist across channel types and geographic sub-regions.</w:t>
      </w:r>
    </w:p>
    <w:p w14:paraId="7FB3B8DE" w14:textId="77777777" w:rsidR="00EB4C95" w:rsidRDefault="00EB4C95" w:rsidP="00EB4C95">
      <w:pPr>
        <w:spacing w:after="180" w:line="360" w:lineRule="auto"/>
        <w:jc w:val="both"/>
      </w:pPr>
      <w:r>
        <w:rPr>
          <w:rFonts w:ascii="Times New Roman" w:eastAsia="Times New Roman" w:hAnsi="Times New Roman" w:cs="Times New Roman"/>
          <w:sz w:val="24"/>
          <w:szCs w:val="24"/>
        </w:rPr>
        <w:t xml:space="preserve">Action-oriented research by Choudhary et al. (2015) adds a further dimension by demonstrating, through community-based enterprise development in Chamoli district, that institutional interventions — processing units, common facility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and producer groups — can meaningfully improve farmer bargaining power and market access. This evidence is valuable precisely because it establishes proof of concept: the status quo is not structurally irreversible. </w:t>
      </w:r>
      <w:r>
        <w:rPr>
          <w:rFonts w:ascii="Times New Roman" w:eastAsia="Times New Roman" w:hAnsi="Times New Roman" w:cs="Times New Roman"/>
          <w:sz w:val="24"/>
          <w:szCs w:val="24"/>
        </w:rPr>
        <w:lastRenderedPageBreak/>
        <w:t>However, the focus of these studies on documenting what has changed after an intervention, rather than on identifying the pre-existing determinants of channel performance, means they cannot answer the prior and arguably more fundamental question: under what conditions is one distribution channel more efficient or equitable than another, and what factors would need to change for optimization to occur at scale? It is this analytical question — one that moves from description to explanation, and from retrospection to prescription — that the existing literature leaves unaddressed.</w:t>
      </w:r>
    </w:p>
    <w:p w14:paraId="2CC81A3B" w14:textId="77777777" w:rsidR="00EB4C95" w:rsidRDefault="00EB4C95" w:rsidP="00EB4C95">
      <w:pPr>
        <w:spacing w:after="180" w:line="360" w:lineRule="auto"/>
        <w:jc w:val="both"/>
      </w:pPr>
      <w:r>
        <w:rPr>
          <w:rFonts w:ascii="Times New Roman" w:eastAsia="Times New Roman" w:hAnsi="Times New Roman" w:cs="Times New Roman"/>
          <w:sz w:val="24"/>
          <w:szCs w:val="24"/>
        </w:rPr>
        <w:t xml:space="preserve">The methodological limitations of prior work reinforce this analytical gap. Most studies in the Garhwal and Uttarakhand context draw on small, non-representative samples from single districts — </w:t>
      </w:r>
      <w:proofErr w:type="spellStart"/>
      <w:r>
        <w:rPr>
          <w:rFonts w:ascii="Times New Roman" w:eastAsia="Times New Roman" w:hAnsi="Times New Roman" w:cs="Times New Roman"/>
          <w:sz w:val="24"/>
          <w:szCs w:val="24"/>
        </w:rPr>
        <w:t>Rudraprayag</w:t>
      </w:r>
      <w:proofErr w:type="spellEnd"/>
      <w:r>
        <w:rPr>
          <w:rFonts w:ascii="Times New Roman" w:eastAsia="Times New Roman" w:hAnsi="Times New Roman" w:cs="Times New Roman"/>
          <w:sz w:val="24"/>
          <w:szCs w:val="24"/>
        </w:rPr>
        <w:t xml:space="preserve"> in the case of Saxena and Singh (2015), Tehri Garhwal in Gairola et al. (2023), Almora in Sharma (2008) — with no comparative framework that would allow district-level findings to be aggregated into region-wide inferences (Sharma, 2008; Gairola et al., 2023; Saxena &amp; Singh, 2015). Quantitative efficiency metrics such as producer shares — which range from 8% to 68% across reported studies — and marketing costs per quintal are computed and presented, but rarely subjected to factor analysis that would identify what drives this variation (Sharma, 2008; Saxena &amp; Singh, 2015). Variables that are widely hypothesized to influence channel performance — including information asymmetry between farmers and traders, differential access to institutional credit, the strength of farmer organizations, and terrain-induced transaction costs — appear in these studies as qualitative observations rather than analytically tested determinants. The result is a body of evidence that can tell us where the system underperforms but not why, and consequently not how to change it.</w:t>
      </w:r>
    </w:p>
    <w:p w14:paraId="13A30D66" w14:textId="77777777" w:rsidR="00EB4C95" w:rsidRDefault="00EB4C95" w:rsidP="00EB4C95">
      <w:pPr>
        <w:pStyle w:val="Heading2"/>
      </w:pPr>
      <w:r>
        <w:t>1.4.2 The Case for Garhwal-Specific, Analytically Oriented Research</w:t>
      </w:r>
    </w:p>
    <w:p w14:paraId="7145ABDD" w14:textId="77777777" w:rsidR="00EB4C95" w:rsidRDefault="00EB4C95" w:rsidP="00EB4C95">
      <w:pPr>
        <w:spacing w:after="180" w:line="360" w:lineRule="auto"/>
        <w:jc w:val="both"/>
      </w:pPr>
      <w:r>
        <w:rPr>
          <w:rFonts w:ascii="Times New Roman" w:eastAsia="Times New Roman" w:hAnsi="Times New Roman" w:cs="Times New Roman"/>
          <w:sz w:val="24"/>
          <w:szCs w:val="24"/>
        </w:rPr>
        <w:t xml:space="preserve">Beyond its methodological boundaries, the existing literature also has a contextual blind spot: it does not adequately engage with the distinctive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 xml:space="preserve">-economic and geographic features that make Garhwal a qualitatively different research environment from either the broader Uttarakhand context or the wider Indian citrus belt. Garhwal's combination of fragile slopes, very small and fragmented landholdings averaging below </w:t>
      </w:r>
      <w:proofErr w:type="gramStart"/>
      <w:r>
        <w:rPr>
          <w:rFonts w:ascii="Times New Roman" w:eastAsia="Times New Roman" w:hAnsi="Times New Roman" w:cs="Times New Roman"/>
          <w:sz w:val="24"/>
          <w:szCs w:val="24"/>
        </w:rPr>
        <w:t>one hectare</w:t>
      </w:r>
      <w:proofErr w:type="gramEnd"/>
      <w:r>
        <w:rPr>
          <w:rFonts w:ascii="Times New Roman" w:eastAsia="Times New Roman" w:hAnsi="Times New Roman" w:cs="Times New Roman"/>
          <w:sz w:val="24"/>
          <w:szCs w:val="24"/>
        </w:rPr>
        <w:t>, heavy dependence on mule transport in many sub-areas, and accelerating out-migration of working-age men creates a distribution challenge that differs materially from those facing citrus producers in plains districts or even in less remote hill areas (Saxena &amp; Singh, 2015; Choudhary et al., 2015). State-level or pan-</w:t>
      </w:r>
      <w:r>
        <w:rPr>
          <w:rFonts w:ascii="Times New Roman" w:eastAsia="Times New Roman" w:hAnsi="Times New Roman" w:cs="Times New Roman"/>
          <w:sz w:val="24"/>
          <w:szCs w:val="24"/>
        </w:rPr>
        <w:lastRenderedPageBreak/>
        <w:t>Himalayan analyses that do not account for these micro-geographic conditions produce findings that are neither analytically precise nor operationally actionable for the farmers and policymakers operating within the Garhwal belt.</w:t>
      </w:r>
    </w:p>
    <w:p w14:paraId="18DF24C4" w14:textId="77777777" w:rsidR="00EB4C95" w:rsidRDefault="00EB4C95" w:rsidP="00EB4C95">
      <w:pPr>
        <w:spacing w:after="180" w:line="360" w:lineRule="auto"/>
        <w:jc w:val="both"/>
      </w:pPr>
      <w:r>
        <w:rPr>
          <w:rFonts w:ascii="Times New Roman" w:eastAsia="Times New Roman" w:hAnsi="Times New Roman" w:cs="Times New Roman"/>
          <w:sz w:val="24"/>
          <w:szCs w:val="24"/>
        </w:rPr>
        <w:t xml:space="preserve">Several contextually specific dynamics further deepen this gap. The seasonal variability of road access — which in many Garhwal blocks renders certain routes impassable during peak harvest months — introduces a supply-side constraint on channel choice that has no counterpart in plains marketing literature but is not systematically studied as a determinant of distribution outcomes. Similarly, the integration of Malta production into traditional </w:t>
      </w:r>
      <w:proofErr w:type="spellStart"/>
      <w:r>
        <w:rPr>
          <w:rFonts w:ascii="Times New Roman" w:eastAsia="Times New Roman" w:hAnsi="Times New Roman" w:cs="Times New Roman"/>
          <w:sz w:val="24"/>
          <w:szCs w:val="24"/>
        </w:rPr>
        <w:t>homegarden</w:t>
      </w:r>
      <w:proofErr w:type="spellEnd"/>
      <w:r>
        <w:rPr>
          <w:rFonts w:ascii="Times New Roman" w:eastAsia="Times New Roman" w:hAnsi="Times New Roman" w:cs="Times New Roman"/>
          <w:sz w:val="24"/>
          <w:szCs w:val="24"/>
        </w:rPr>
        <w:t xml:space="preserve"> systems, rather than specialized commercial orchards, creates a marketing context in which production volumes, harvest timing, and quality consistency differ structurally from what standardized citrus marketing models assume. The potential for niche branding of Malta as a geographically identified hill product — a route being actively explored under the state government's Malta Mission — further distinguishes the optimization problem in Garhwal from the commodity-oriented marketing questions addressed in existing studies (Garhwal Post, 2024). None of these factors has been analytically incorporated into a multi-variable account of distribution channel performance.</w:t>
      </w:r>
    </w:p>
    <w:p w14:paraId="439220D6" w14:textId="77777777" w:rsidR="00EB4C95" w:rsidRDefault="00EB4C95" w:rsidP="00EB4C95">
      <w:pPr>
        <w:spacing w:after="180" w:line="360" w:lineRule="auto"/>
        <w:jc w:val="both"/>
      </w:pPr>
      <w:r>
        <w:rPr>
          <w:rFonts w:ascii="Times New Roman" w:eastAsia="Times New Roman" w:hAnsi="Times New Roman" w:cs="Times New Roman"/>
          <w:sz w:val="24"/>
          <w:szCs w:val="24"/>
        </w:rPr>
        <w:t>It is also notable that the failure of the minimum support price intervention for Malta — a policy instrument that ought, in principle, to have strengthened producer price realization — has not been subjected to rigorous post-mortem analysis in the academic literature. Choudhary et al. (2015) document the failure but attribute it broadly to poor implementation and inadequate procurement infrastructure. A more granular investigation of whether the barrier was primarily physical, organizational, informational, or political would yield insights with direct policy utility — and would require precisely the kind of multi-district, multi-variable empirical inquiry that no existing study provides.</w:t>
      </w:r>
    </w:p>
    <w:p w14:paraId="58027CF8" w14:textId="77777777" w:rsidR="00EB4C95" w:rsidRDefault="00EB4C95" w:rsidP="00EB4C95">
      <w:pPr>
        <w:pStyle w:val="Heading2"/>
      </w:pPr>
      <w:r>
        <w:t>1.4.3 Positioning the Present Study</w:t>
      </w:r>
    </w:p>
    <w:p w14:paraId="72811E04" w14:textId="77777777" w:rsidR="00EB4C95" w:rsidRDefault="00EB4C95" w:rsidP="00EB4C95">
      <w:pPr>
        <w:spacing w:after="180" w:line="360" w:lineRule="auto"/>
        <w:jc w:val="both"/>
      </w:pPr>
      <w:r>
        <w:rPr>
          <w:rFonts w:ascii="Times New Roman" w:eastAsia="Times New Roman" w:hAnsi="Times New Roman" w:cs="Times New Roman"/>
          <w:sz w:val="24"/>
          <w:szCs w:val="24"/>
        </w:rPr>
        <w:t xml:space="preserve">The research gap that emerges from this review is therefore dual in character: it is simultaneously methodological and contextual. Methodologically, the field lacks a study that moves beyond descriptive channel mapping to empirically identify and quantify the factors — infrastructural, institutional, informational, and organizational — that determine distribution channel efficiency and farmer welfare outcomes for Malta in the Garhwal region. Contextually, the field lacks an analysis grounded in the distinctive physical, demographic, and institutional conditions of Garhwal </w:t>
      </w:r>
      <w:r>
        <w:rPr>
          <w:rFonts w:ascii="Times New Roman" w:eastAsia="Times New Roman" w:hAnsi="Times New Roman" w:cs="Times New Roman"/>
          <w:sz w:val="24"/>
          <w:szCs w:val="24"/>
        </w:rPr>
        <w:lastRenderedPageBreak/>
        <w:t>that would allow the findings to be translated into region-specific policy and programmatic recommendations, rather than applied from generalized models developed for more accessible and better-served agricultural environments.</w:t>
      </w:r>
    </w:p>
    <w:p w14:paraId="5E697D2E" w14:textId="77777777" w:rsidR="00EB4C95" w:rsidRDefault="00EB4C95" w:rsidP="00EB4C95">
      <w:pPr>
        <w:spacing w:after="180" w:line="360" w:lineRule="auto"/>
        <w:jc w:val="both"/>
      </w:pPr>
      <w:r>
        <w:rPr>
          <w:rFonts w:ascii="Times New Roman" w:eastAsia="Times New Roman" w:hAnsi="Times New Roman" w:cs="Times New Roman"/>
          <w:sz w:val="24"/>
          <w:szCs w:val="24"/>
        </w:rPr>
        <w:t>The present study is designed to address both dimensions simultaneously. Using primary data collected across multiple districts of the Garhwal region, it investigates the factors influencing distribution channel choice and optimization for Malta, with the aim of producing analytically rigorous and contextually situated evidence that the existing literature cannot supply. In doing so, it seeks to move the academic conversation on Malta marketing from documentation to diagnosis — and, ultimately, to provide the evidence base from which policymakers, producer organizations, and development agencies can design interventions that are proportionate to the scale and specificity of the problem.</w:t>
      </w:r>
    </w:p>
    <w:p w14:paraId="768E3525" w14:textId="77777777" w:rsidR="009353F6" w:rsidRDefault="009353F6" w:rsidP="00C94409">
      <w:pPr>
        <w:spacing w:after="210" w:line="360" w:lineRule="auto"/>
        <w:jc w:val="both"/>
        <w:rPr>
          <w:rFonts w:ascii="Times New Roman" w:eastAsia="inter" w:hAnsi="Times New Roman" w:cs="Times New Roman"/>
          <w:i/>
          <w:color w:val="000000"/>
          <w:sz w:val="24"/>
          <w:szCs w:val="24"/>
        </w:rPr>
      </w:pPr>
    </w:p>
    <w:p w14:paraId="4F38F8F1"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0E0B825A"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5DC4E89B"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6E129568"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00E36363"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7C78852D"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4BEAFD2F"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3EB6D0C3"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1A52001F"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3B54D4E3"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537C2D22"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3B7DCD75" w14:textId="77777777" w:rsidR="002A10F7" w:rsidRDefault="002A10F7" w:rsidP="00C94409">
      <w:pPr>
        <w:spacing w:after="210" w:line="360" w:lineRule="auto"/>
        <w:jc w:val="both"/>
        <w:rPr>
          <w:rFonts w:ascii="Times New Roman" w:eastAsia="inter" w:hAnsi="Times New Roman" w:cs="Times New Roman"/>
          <w:i/>
          <w:color w:val="000000"/>
          <w:sz w:val="24"/>
          <w:szCs w:val="24"/>
        </w:rPr>
      </w:pPr>
    </w:p>
    <w:p w14:paraId="67A5A3EE" w14:textId="77777777" w:rsidR="002A10F7" w:rsidRDefault="002A10F7" w:rsidP="002A10F7">
      <w:pPr>
        <w:pStyle w:val="Heading1"/>
      </w:pPr>
      <w:r>
        <w:lastRenderedPageBreak/>
        <w:t>1.5 Statement of the Problem</w:t>
      </w:r>
    </w:p>
    <w:p w14:paraId="588EC08B" w14:textId="77777777" w:rsidR="002A10F7" w:rsidRDefault="002A10F7" w:rsidP="002A10F7">
      <w:pPr>
        <w:spacing w:after="180" w:line="360" w:lineRule="auto"/>
        <w:jc w:val="both"/>
      </w:pPr>
      <w:r>
        <w:rPr>
          <w:rFonts w:ascii="Times New Roman" w:eastAsia="Times New Roman" w:hAnsi="Times New Roman" w:cs="Times New Roman"/>
          <w:sz w:val="24"/>
          <w:szCs w:val="24"/>
        </w:rPr>
        <w:t>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xml:space="preserve">) cultivation in the Garhwal Himalaya presents what might be described as a paradox of unrealized potential. The crop's agronomic credentials are well-established: under optimal conditions it yields up to 19.8 </w:t>
      </w:r>
      <w:proofErr w:type="spellStart"/>
      <w:r>
        <w:rPr>
          <w:rFonts w:ascii="Times New Roman" w:eastAsia="Times New Roman" w:hAnsi="Times New Roman" w:cs="Times New Roman"/>
          <w:sz w:val="24"/>
          <w:szCs w:val="24"/>
        </w:rPr>
        <w:t>tonnes</w:t>
      </w:r>
      <w:proofErr w:type="spellEnd"/>
      <w:r>
        <w:rPr>
          <w:rFonts w:ascii="Times New Roman" w:eastAsia="Times New Roman" w:hAnsi="Times New Roman" w:cs="Times New Roman"/>
          <w:sz w:val="24"/>
          <w:szCs w:val="24"/>
        </w:rPr>
        <w:t xml:space="preserve"> per hectare, generates benefit-cost ratios exceeding 3.8, supports year-round employment through processing and value addition, and sustains the livelihoods of smallholders for whom conventional cereal agriculture is in measurable decline. Its nutritional profile and distinctive regional identity position it as a candidate for premium market placement in urban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and, prospectively, in export channels currently being explored under the state government's Malta Mission. By almost any measure of agricultural potential, Malta should be a commercially significant crop for the households and communities that grow it.</w:t>
      </w:r>
    </w:p>
    <w:p w14:paraId="777D8197" w14:textId="77777777" w:rsidR="002A10F7" w:rsidRDefault="002A10F7" w:rsidP="002A10F7">
      <w:pPr>
        <w:spacing w:after="180" w:line="360" w:lineRule="auto"/>
        <w:jc w:val="both"/>
      </w:pPr>
      <w:r>
        <w:rPr>
          <w:rFonts w:ascii="Times New Roman" w:eastAsia="Times New Roman" w:hAnsi="Times New Roman" w:cs="Times New Roman"/>
          <w:sz w:val="24"/>
          <w:szCs w:val="24"/>
        </w:rPr>
        <w:t>It is not. The gap between this potential and its realization at the farm level is wide and persistent, and it is not primarily a problem of production. Yields, agronomic techniques, and the physical suitability of Garhwal's mid-altitude terrain for Malta cultivation are not in question. The problem is located at the point where the crop leaves the orchard and enters the marketing system. More than two-thirds of Malta produced in the region moves through a single contractor-dominated channel, in which village agents or traders collect fruit at the farm gate and organize its onward movement to distant wholesale and retail markets. In this channel, the farmer bears none of the direct transport cost — but also exercises none of the pricing power. Producer shares of the consumer rupee range from as low as 8% to a maximum of 68% across documented studies, a range so wide as to confirm that the distribution system is not merely inefficient in a technical sense but is structurally inconsistent in its treatment of producers. Post-harvest losses estimated at 20–25% compound this income erosion further, resulting not from agronomic failure but from inadequate packaging, absent cold storage and pre-cooling infrastructure, and the long, often precarious transport routes that the Garhwal terrain imposes on any supply chain attempting to reach plains markets.</w:t>
      </w:r>
    </w:p>
    <w:p w14:paraId="24E169AE" w14:textId="77777777" w:rsidR="002A10F7" w:rsidRDefault="002A10F7" w:rsidP="002A10F7">
      <w:pPr>
        <w:spacing w:after="180" w:line="360" w:lineRule="auto"/>
        <w:jc w:val="both"/>
      </w:pPr>
      <w:r>
        <w:rPr>
          <w:rFonts w:ascii="Times New Roman" w:eastAsia="Times New Roman" w:hAnsi="Times New Roman" w:cs="Times New Roman"/>
          <w:sz w:val="24"/>
          <w:szCs w:val="24"/>
        </w:rPr>
        <w:t xml:space="preserve">What sustains this system is not the absence of alternatives but the absence of the conditions under which alternatives become viable. Shorter, direct-sale channels exist and have been shown to yield higher net returns to producers — but their adoption remains limited to a minority of growers because the organizational, informational, and infrastructural preconditions for their functioning are either absent or inadequately developed across much of the region. Farmer producer </w:t>
      </w:r>
      <w:r>
        <w:rPr>
          <w:rFonts w:ascii="Times New Roman" w:eastAsia="Times New Roman" w:hAnsi="Times New Roman" w:cs="Times New Roman"/>
          <w:sz w:val="24"/>
          <w:szCs w:val="24"/>
        </w:rPr>
        <w:lastRenderedPageBreak/>
        <w:t>organizations that could aggregate supply and improve collective bargaining capacity are weak or inactive. Market price information reaches producers slowly and unreliably, limiting their ability to make informed decisions about when and where to sell. The physical geography of Garhwal — dispersed holdings, difficult terrain, and seasonal road accessibility — imposes transaction costs that individual smallholders cannot absorb independently. And the institutional interventions that might have corrected for these conditions, including the state's minimum support price for Malta, have not succeeded due to implementation and procurement deficiencies that remain incompletely understood.</w:t>
      </w:r>
    </w:p>
    <w:p w14:paraId="769FFA5F" w14:textId="77777777" w:rsidR="002A10F7" w:rsidRDefault="002A10F7" w:rsidP="002A10F7">
      <w:pPr>
        <w:spacing w:after="180" w:line="360" w:lineRule="auto"/>
        <w:jc w:val="both"/>
      </w:pPr>
      <w:r>
        <w:rPr>
          <w:rFonts w:ascii="Times New Roman" w:eastAsia="Times New Roman" w:hAnsi="Times New Roman" w:cs="Times New Roman"/>
          <w:sz w:val="24"/>
          <w:szCs w:val="24"/>
        </w:rPr>
        <w:t xml:space="preserve">The problem, stated precisely, is this: there is no empirically grounded, contextually calibrated analytical framework that identifies which factors — infrastructural, institutional, informational, organizational, and logistical — most significantly constrain the optimization of distribution channels for Malta in the Garhwal region, or how those factors interact to determine the marketing outcomes experienced by smallholder producers. Without such a framework, it is not possible to design interventions that are proportionate, targeted, and likely to succeed in the specific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-economic environment of Garhwal. Policy instruments can be proposed, but without the evidence to prioritize among them or to anticipate where implementation will encounter the binding constraints, they risk the same fate as the minimum support price scheme: technically defensible in design but ineffective in practice.</w:t>
      </w:r>
    </w:p>
    <w:p w14:paraId="7254F742" w14:textId="77777777" w:rsidR="002A10F7" w:rsidRDefault="002A10F7" w:rsidP="002A10F7">
      <w:pPr>
        <w:spacing w:after="180" w:line="360" w:lineRule="auto"/>
        <w:jc w:val="both"/>
      </w:pPr>
      <w:r>
        <w:rPr>
          <w:rFonts w:ascii="Times New Roman" w:eastAsia="Times New Roman" w:hAnsi="Times New Roman" w:cs="Times New Roman"/>
          <w:sz w:val="24"/>
          <w:szCs w:val="24"/>
        </w:rPr>
        <w:t xml:space="preserve">The development stakes of this problem are substantial. The out-migration of economically active men from Garhwal's hill villages has left women and elderly household members as the primary custodians of agricultural production, making the income-generating capacity of crops like Malta directly relevant to household food security and gender equity. The climate-driven decline of cereal cultivation that has been documented across the region since the early 2000s has narrowed the livelihood options available to smallholders, increasing the relative importance of high-value horticultural crops as a buffer against agrarian distress. And the state and national policy environment — through the Malta Mission and related horticulture promotion initiatives — is actively seeking the kind of evidence that would allow public investment to be directed toward the interventions most likely to strengthen the value chain for this crop. The absence of a systematic, multi-district, analytically rigorous study of the factors constraining distribution channel </w:t>
      </w:r>
      <w:r>
        <w:rPr>
          <w:rFonts w:ascii="Times New Roman" w:eastAsia="Times New Roman" w:hAnsi="Times New Roman" w:cs="Times New Roman"/>
          <w:sz w:val="24"/>
          <w:szCs w:val="24"/>
        </w:rPr>
        <w:lastRenderedPageBreak/>
        <w:t>optimization is therefore not merely an academic lacuna; it is a practical obstacle to development-oriented decision-making in a region that has limited margin for ineffective policy.</w:t>
      </w:r>
    </w:p>
    <w:p w14:paraId="409E9CA2" w14:textId="77777777" w:rsidR="002A10F7" w:rsidRDefault="002A10F7" w:rsidP="002A10F7">
      <w:pPr>
        <w:spacing w:after="180" w:line="360" w:lineRule="auto"/>
        <w:jc w:val="both"/>
      </w:pPr>
      <w:r>
        <w:rPr>
          <w:rFonts w:ascii="Times New Roman" w:eastAsia="Times New Roman" w:hAnsi="Times New Roman" w:cs="Times New Roman"/>
          <w:sz w:val="24"/>
          <w:szCs w:val="24"/>
        </w:rPr>
        <w:t>It is in response to this compound problem — the persistent underperformance of Malta's distribution system in Garhwal, and the absence of an analytical foundation for addressing it — that the present study is situated. By collecting primary data across multiple districts of the Garhwal region and applying a structured analytical framework to identify and assess the factors influencing distribution channel optimization, this research aims to produce findings that are simultaneously rigorous in their methodological grounding and actionable in their implications for producers, policymakers, and the institutions that serve them.</w:t>
      </w:r>
    </w:p>
    <w:p w14:paraId="7FA67DF5" w14:textId="40CD6CF7" w:rsidR="002A10F7" w:rsidRDefault="002A10F7" w:rsidP="00C94409">
      <w:pPr>
        <w:spacing w:after="210" w:line="360" w:lineRule="auto"/>
        <w:jc w:val="both"/>
        <w:rPr>
          <w:rFonts w:ascii="Times New Roman" w:eastAsia="inter" w:hAnsi="Times New Roman" w:cs="Times New Roman"/>
          <w:iCs/>
          <w:color w:val="000000"/>
          <w:sz w:val="24"/>
          <w:szCs w:val="24"/>
        </w:rPr>
      </w:pPr>
    </w:p>
    <w:p w14:paraId="78E05340" w14:textId="77777777" w:rsidR="007101A9" w:rsidRDefault="007101A9" w:rsidP="007101A9">
      <w:pPr>
        <w:pStyle w:val="Heading1"/>
      </w:pPr>
      <w:r>
        <w:t>1.6 Research Objectives</w:t>
      </w:r>
    </w:p>
    <w:p w14:paraId="50E6BB3B" w14:textId="77777777" w:rsidR="007101A9" w:rsidRDefault="007101A9" w:rsidP="007101A9">
      <w:pPr>
        <w:spacing w:after="180" w:line="360" w:lineRule="auto"/>
        <w:jc w:val="both"/>
      </w:pPr>
      <w:r>
        <w:rPr>
          <w:rFonts w:ascii="Times New Roman" w:eastAsia="Times New Roman" w:hAnsi="Times New Roman" w:cs="Times New Roman"/>
          <w:sz w:val="24"/>
          <w:szCs w:val="24"/>
        </w:rPr>
        <w:t>The problem identified in the preceding section is, at its core, a problem of unknowing: the distribution system for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in Garhwal is demonstrably underperforming, yet the specific factors that sustain its underperformance — and the relative weight of each — have not been empirically established in a form that can guide targeted intervention. The objectives of this study are designed to address that problem systematically, moving from diagnostic inquiry toward analytical and applied contributions. The objectives are organized in two tiers: a primary objective that defines the overarching research purpose, and five specific objectives that operationalize it across the study's distinct analytical components. Together, the specific objectives are designed such that their collective completion constitutes the fulfilment of the primary objective.</w:t>
      </w:r>
    </w:p>
    <w:p w14:paraId="3EA9ADC3" w14:textId="77777777" w:rsidR="007101A9" w:rsidRDefault="007101A9" w:rsidP="007101A9">
      <w:pPr>
        <w:pStyle w:val="Heading2"/>
      </w:pPr>
      <w:r>
        <w:t>Primary Objective</w:t>
      </w:r>
    </w:p>
    <w:p w14:paraId="0E7BD7D4" w14:textId="77777777" w:rsidR="007101A9" w:rsidRDefault="007101A9" w:rsidP="007101A9">
      <w:pPr>
        <w:spacing w:after="180" w:line="360" w:lineRule="auto"/>
        <w:jc w:val="both"/>
      </w:pPr>
      <w:r>
        <w:rPr>
          <w:rFonts w:ascii="Times New Roman" w:eastAsia="Times New Roman" w:hAnsi="Times New Roman" w:cs="Times New Roman"/>
          <w:sz w:val="24"/>
          <w:szCs w:val="24"/>
        </w:rPr>
        <w:t>To empirically investigate and analytically assess the factors influencing the optimization of distribution channels for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in the Garhwal region of Uttarakhand, and to develop evidence-based frameworks that can improve the efficiency, equity, and sustainability of those channels for smallholder producers.</w:t>
      </w:r>
    </w:p>
    <w:p w14:paraId="1CB8AEE3" w14:textId="77777777" w:rsidR="007101A9" w:rsidRDefault="007101A9" w:rsidP="007101A9">
      <w:pPr>
        <w:pStyle w:val="Heading2"/>
      </w:pPr>
    </w:p>
    <w:p w14:paraId="225F8180" w14:textId="77777777" w:rsidR="007101A9" w:rsidRDefault="007101A9" w:rsidP="007101A9">
      <w:pPr>
        <w:pStyle w:val="Heading2"/>
      </w:pPr>
    </w:p>
    <w:p w14:paraId="40138628" w14:textId="7419F1D6" w:rsidR="007101A9" w:rsidRDefault="007101A9" w:rsidP="007101A9">
      <w:pPr>
        <w:pStyle w:val="Heading2"/>
      </w:pPr>
      <w:r>
        <w:lastRenderedPageBreak/>
        <w:t>Specific Objectives</w:t>
      </w:r>
    </w:p>
    <w:p w14:paraId="480E7177" w14:textId="77777777" w:rsidR="007101A9" w:rsidRDefault="007101A9" w:rsidP="007101A9">
      <w:pPr>
        <w:spacing w:after="180" w:line="360" w:lineRule="auto"/>
        <w:jc w:val="both"/>
      </w:pPr>
      <w:r>
        <w:rPr>
          <w:rFonts w:ascii="Times New Roman" w:eastAsia="Times New Roman" w:hAnsi="Times New Roman" w:cs="Times New Roman"/>
          <w:sz w:val="24"/>
          <w:szCs w:val="24"/>
        </w:rPr>
        <w:t>The primary objective is pursued through five specific objectives, the first three of which are diagnostic in nature — establishing what the current system looks like and why it performs as it does — and the latter two of which are analytical and applied, developing structured frameworks for addressing the constraints the diagnostic work identifies.</w:t>
      </w:r>
    </w:p>
    <w:p w14:paraId="6D23C043" w14:textId="44F7CE69" w:rsidR="007101A9" w:rsidRDefault="007101A9" w:rsidP="007101A9">
      <w:pPr>
        <w:spacing w:before="100" w:after="180" w:line="360" w:lineRule="auto"/>
        <w:ind w:left="360"/>
        <w:jc w:val="both"/>
      </w:pPr>
      <w:r>
        <w:rPr>
          <w:rFonts w:ascii="Times New Roman" w:eastAsia="Times New Roman" w:hAnsi="Times New Roman" w:cs="Times New Roman"/>
          <w:b/>
          <w:bCs/>
          <w:sz w:val="24"/>
          <w:szCs w:val="24"/>
        </w:rPr>
        <w:t xml:space="preserve">Objective 1: </w:t>
      </w:r>
      <w:r>
        <w:rPr>
          <w:rFonts w:ascii="Times New Roman" w:eastAsia="Times New Roman" w:hAnsi="Times New Roman" w:cs="Times New Roman"/>
          <w:sz w:val="24"/>
          <w:szCs w:val="24"/>
        </w:rPr>
        <w:t xml:space="preserve">To identify and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the key factors — infrastructural, institutional, informational, and organizational — that influence the efficiency and equity of Malta distribution channels across the Garhwal region, with particular attention to how these factors vary across farm sizes, elevations, and district sub-contexts.</w:t>
      </w:r>
    </w:p>
    <w:p w14:paraId="0F93C8F9" w14:textId="77777777" w:rsidR="007101A9" w:rsidRDefault="007101A9" w:rsidP="007101A9">
      <w:pPr>
        <w:spacing w:after="180" w:line="360" w:lineRule="auto"/>
        <w:jc w:val="both"/>
      </w:pPr>
      <w:proofErr w:type="gramStart"/>
      <w:r>
        <w:rPr>
          <w:rFonts w:ascii="Times New Roman" w:eastAsia="Times New Roman" w:hAnsi="Times New Roman" w:cs="Times New Roman"/>
          <w:sz w:val="24"/>
          <w:szCs w:val="24"/>
        </w:rPr>
        <w:t>This objective forms</w:t>
      </w:r>
      <w:proofErr w:type="gramEnd"/>
      <w:r>
        <w:rPr>
          <w:rFonts w:ascii="Times New Roman" w:eastAsia="Times New Roman" w:hAnsi="Times New Roman" w:cs="Times New Roman"/>
          <w:sz w:val="24"/>
          <w:szCs w:val="24"/>
        </w:rPr>
        <w:t xml:space="preserve"> the analytical foundation of the study. Without a systematic, empirically grounded account of the factors shaping channel performance, the subsequent objectives lack a rigorous basis for the frameworks they develop. The identification of factors will draw on primary data collected from multiple districts, enabling comparative analysis that single-district prior studies have been unable to provide.</w:t>
      </w:r>
    </w:p>
    <w:p w14:paraId="3391AAE3" w14:textId="6CD28C8F" w:rsidR="007101A9" w:rsidRDefault="007101A9" w:rsidP="007101A9">
      <w:pPr>
        <w:spacing w:before="100" w:after="180" w:line="360" w:lineRule="auto"/>
        <w:ind w:left="360"/>
        <w:jc w:val="both"/>
      </w:pPr>
      <w:r>
        <w:rPr>
          <w:rFonts w:ascii="Times New Roman" w:eastAsia="Times New Roman" w:hAnsi="Times New Roman" w:cs="Times New Roman"/>
          <w:b/>
          <w:bCs/>
          <w:sz w:val="24"/>
          <w:szCs w:val="24"/>
        </w:rPr>
        <w:t xml:space="preserve">Objective 2: </w:t>
      </w:r>
      <w:r>
        <w:rPr>
          <w:rFonts w:ascii="Times New Roman" w:eastAsia="Times New Roman" w:hAnsi="Times New Roman" w:cs="Times New Roman"/>
          <w:sz w:val="24"/>
          <w:szCs w:val="24"/>
        </w:rPr>
        <w:t>To evaluate the prevailing marketing strategies and channel configurations employed by Malta producers in Uttarakhand, assessing their performance in terms of producer price shares, marketing costs, post-harvest loss rates, and alignment with regional consumer preferences and market dynamics.</w:t>
      </w:r>
    </w:p>
    <w:p w14:paraId="7655834E" w14:textId="77777777" w:rsidR="007101A9" w:rsidRDefault="007101A9" w:rsidP="007101A9">
      <w:pPr>
        <w:spacing w:after="180" w:line="360" w:lineRule="auto"/>
        <w:jc w:val="both"/>
      </w:pPr>
      <w:r>
        <w:rPr>
          <w:rFonts w:ascii="Times New Roman" w:eastAsia="Times New Roman" w:hAnsi="Times New Roman" w:cs="Times New Roman"/>
          <w:sz w:val="24"/>
          <w:szCs w:val="24"/>
        </w:rPr>
        <w:t>Where Objective 1 focuses on the factors underlying channel performance, Objective 2 focuses on the outcomes of current channel configurations — what producers actually receive, what is lost, and how well the system responds to market conditions. This evaluation will provide the benchmarks against which the improvements proposed in Objectives 4 and 5 can be assessed.</w:t>
      </w:r>
    </w:p>
    <w:p w14:paraId="499B340E" w14:textId="6B794B2B" w:rsidR="007101A9" w:rsidRDefault="007101A9" w:rsidP="007101A9">
      <w:pPr>
        <w:spacing w:before="100" w:after="180" w:line="360" w:lineRule="auto"/>
        <w:ind w:left="360"/>
        <w:jc w:val="both"/>
      </w:pPr>
      <w:r>
        <w:rPr>
          <w:rFonts w:ascii="Times New Roman" w:eastAsia="Times New Roman" w:hAnsi="Times New Roman" w:cs="Times New Roman"/>
          <w:b/>
          <w:bCs/>
          <w:sz w:val="24"/>
          <w:szCs w:val="24"/>
        </w:rPr>
        <w:t xml:space="preserve">Objective 3: </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sz w:val="24"/>
          <w:szCs w:val="24"/>
        </w:rPr>
        <w:t>To investigate the constraints experienced by farmers, traders, and other value chain stakeholders in the Malta marketing process, and to identify the specific points — physical, institutional, and informational — at which those constraints are most binding.</w:t>
      </w:r>
    </w:p>
    <w:p w14:paraId="6228EC81" w14:textId="77777777" w:rsidR="007101A9" w:rsidRDefault="007101A9" w:rsidP="007101A9">
      <w:pPr>
        <w:spacing w:after="180" w:line="360" w:lineRule="auto"/>
        <w:jc w:val="both"/>
      </w:pPr>
      <w:r>
        <w:rPr>
          <w:rFonts w:ascii="Times New Roman" w:eastAsia="Times New Roman" w:hAnsi="Times New Roman" w:cs="Times New Roman"/>
          <w:sz w:val="24"/>
          <w:szCs w:val="24"/>
        </w:rPr>
        <w:t xml:space="preserve">This objective extends the analysis beyond the farm gate to the broader network of actors through whom Malta moves from orchard to consumer. Understanding how constraints manifest differently for farmers, contractors, wholesalers, and retailers is essential for designing </w:t>
      </w:r>
      <w:r>
        <w:rPr>
          <w:rFonts w:ascii="Times New Roman" w:eastAsia="Times New Roman" w:hAnsi="Times New Roman" w:cs="Times New Roman"/>
          <w:sz w:val="24"/>
          <w:szCs w:val="24"/>
        </w:rPr>
        <w:lastRenderedPageBreak/>
        <w:t>interventions that are coherent across the chain rather than beneficial to one actor at the expense of others.</w:t>
      </w:r>
    </w:p>
    <w:p w14:paraId="5705EE86" w14:textId="2745AD61" w:rsidR="007101A9" w:rsidRDefault="007101A9" w:rsidP="007101A9">
      <w:pPr>
        <w:spacing w:before="100" w:after="180" w:line="360" w:lineRule="auto"/>
        <w:ind w:left="360"/>
        <w:jc w:val="both"/>
      </w:pPr>
      <w:r>
        <w:rPr>
          <w:rFonts w:ascii="Times New Roman" w:eastAsia="Times New Roman" w:hAnsi="Times New Roman" w:cs="Times New Roman"/>
          <w:b/>
          <w:bCs/>
          <w:sz w:val="24"/>
          <w:szCs w:val="24"/>
        </w:rPr>
        <w:t xml:space="preserve">Objective 4: </w:t>
      </w:r>
      <w:r>
        <w:rPr>
          <w:rFonts w:ascii="Times New Roman" w:eastAsia="Times New Roman" w:hAnsi="Times New Roman" w:cs="Times New Roman"/>
          <w:sz w:val="24"/>
          <w:szCs w:val="24"/>
        </w:rPr>
        <w:t>To design and evaluate a transportation model that optimizes the movement of Malta from production sites to consumer markets in Garhwal, accounting for the terrain constraints, seasonal road accessibility, perishability-driven time pressure, and cost minimization requirements specific to the regional context.</w:t>
      </w:r>
    </w:p>
    <w:p w14:paraId="199C6678" w14:textId="77777777" w:rsidR="007101A9" w:rsidRDefault="007101A9" w:rsidP="007101A9">
      <w:pPr>
        <w:spacing w:after="180" w:line="360" w:lineRule="auto"/>
        <w:jc w:val="both"/>
      </w:pPr>
      <w:r>
        <w:rPr>
          <w:rFonts w:ascii="Times New Roman" w:eastAsia="Times New Roman" w:hAnsi="Times New Roman" w:cs="Times New Roman"/>
          <w:sz w:val="24"/>
          <w:szCs w:val="24"/>
        </w:rPr>
        <w:t>Building on the constraints documented in Objectives 1 through 3, this objective shifts from description to design. The transportation model will seek to identify routing, timing, and logistical configurations that reduce transit losses and costs under the specific conditions that Garhwal's geography imposes — conditions that standard plains-oriented logistics frameworks do not adequately address.</w:t>
      </w:r>
    </w:p>
    <w:p w14:paraId="2013D0A1" w14:textId="600D03C1" w:rsidR="007101A9" w:rsidRDefault="007101A9" w:rsidP="007101A9">
      <w:pPr>
        <w:spacing w:before="100" w:after="180" w:line="360" w:lineRule="auto"/>
        <w:ind w:left="360"/>
        <w:jc w:val="both"/>
      </w:pPr>
      <w:r>
        <w:rPr>
          <w:rFonts w:ascii="Times New Roman" w:eastAsia="Times New Roman" w:hAnsi="Times New Roman" w:cs="Times New Roman"/>
          <w:b/>
          <w:bCs/>
          <w:sz w:val="24"/>
          <w:szCs w:val="24"/>
        </w:rPr>
        <w:t xml:space="preserve">Objective 5: </w:t>
      </w:r>
      <w:r>
        <w:rPr>
          <w:rFonts w:ascii="Times New Roman" w:eastAsia="Times New Roman" w:hAnsi="Times New Roman" w:cs="Times New Roman"/>
          <w:sz w:val="24"/>
          <w:szCs w:val="24"/>
        </w:rPr>
        <w:t>To develop and apply a fuzzy logic-based framework for assessing and enhancing the quality of Malta during distribution and storage, with the aim of reducing quality-related losses and improving price realization at terminal markets.</w:t>
      </w:r>
    </w:p>
    <w:p w14:paraId="33376B75" w14:textId="77777777" w:rsidR="007101A9" w:rsidRDefault="007101A9" w:rsidP="007101A9">
      <w:pPr>
        <w:spacing w:after="180" w:line="360" w:lineRule="auto"/>
        <w:jc w:val="both"/>
      </w:pPr>
      <w:r>
        <w:rPr>
          <w:rFonts w:ascii="Times New Roman" w:eastAsia="Times New Roman" w:hAnsi="Times New Roman" w:cs="Times New Roman"/>
          <w:sz w:val="24"/>
          <w:szCs w:val="24"/>
        </w:rPr>
        <w:t>Malta quality at the point of sale is determined by a combination of factors — temperature, handling, transit duration, packaging condition, and storage environment — that are individually imprecise and collectively difficult to model using conventional crisp-value approaches. Fuzzy logic methods are well-suited to this kind of multi-variable quality assessment under uncertainty, and their application in this context addresses a methodological gap that the existing literature has not attempted to fill.</w:t>
      </w:r>
    </w:p>
    <w:p w14:paraId="70223F78" w14:textId="77777777" w:rsidR="007101A9" w:rsidRDefault="007101A9" w:rsidP="007101A9">
      <w:pPr>
        <w:spacing w:after="180" w:line="360" w:lineRule="auto"/>
        <w:jc w:val="both"/>
      </w:pPr>
      <w:r>
        <w:rPr>
          <w:rFonts w:ascii="Times New Roman" w:eastAsia="Times New Roman" w:hAnsi="Times New Roman" w:cs="Times New Roman"/>
          <w:sz w:val="24"/>
          <w:szCs w:val="24"/>
        </w:rPr>
        <w:t xml:space="preserve">Taken together, the five specific objectives constitute a coherent research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that progresses from empirical diagnosis to analytical design. The diagnostic objectives (1–3) will produce the evidence base needed to understand the distribution problem in its full Garhwal-specific complexity; the analytical–applied objectives (4–5) will translate that understanding into structured frameworks with direct operational and policy relevance. The scope of this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 multi-district, multi-stakeholder, and methodologically pluralistic — is deliberate: it reflects the judgement that the distribution challenges facing Malta producers in Garhwal are not reducible to a single variable or amenable to a single class of solution, and that an adequate response must therefore be proportionate in its analytical ambition.</w:t>
      </w:r>
    </w:p>
    <w:p w14:paraId="50E022C0" w14:textId="77777777" w:rsidR="00C84B2B" w:rsidRDefault="00C84B2B" w:rsidP="00C84B2B">
      <w:pPr>
        <w:pStyle w:val="Heading1"/>
      </w:pPr>
      <w:r>
        <w:lastRenderedPageBreak/>
        <w:t>1.7 Research Questions</w:t>
      </w:r>
    </w:p>
    <w:p w14:paraId="41A210E4" w14:textId="77777777" w:rsidR="00C84B2B" w:rsidRDefault="00C84B2B" w:rsidP="00C84B2B">
      <w:pPr>
        <w:spacing w:after="180" w:line="360" w:lineRule="auto"/>
        <w:jc w:val="both"/>
      </w:pPr>
      <w:r>
        <w:rPr>
          <w:rFonts w:ascii="Times New Roman" w:eastAsia="Times New Roman" w:hAnsi="Times New Roman" w:cs="Times New Roman"/>
          <w:sz w:val="24"/>
          <w:szCs w:val="24"/>
        </w:rPr>
        <w:t xml:space="preserve">Research questions translate the study's objectives into specific, answerable empirical or analytical inquiries. Where the objectives in Section 1.6 define </w:t>
      </w:r>
      <w:r>
        <w:rPr>
          <w:rFonts w:ascii="Times New Roman" w:eastAsia="Times New Roman" w:hAnsi="Times New Roman" w:cs="Times New Roman"/>
          <w:i/>
          <w:iCs/>
          <w:sz w:val="24"/>
          <w:szCs w:val="24"/>
        </w:rPr>
        <w:t>what the study will do</w:t>
      </w:r>
      <w:r>
        <w:rPr>
          <w:rFonts w:ascii="Times New Roman" w:eastAsia="Times New Roman" w:hAnsi="Times New Roman" w:cs="Times New Roman"/>
          <w:sz w:val="24"/>
          <w:szCs w:val="24"/>
        </w:rPr>
        <w:t xml:space="preserve">, the research questions define </w:t>
      </w:r>
      <w:r>
        <w:rPr>
          <w:rFonts w:ascii="Times New Roman" w:eastAsia="Times New Roman" w:hAnsi="Times New Roman" w:cs="Times New Roman"/>
          <w:i/>
          <w:iCs/>
          <w:sz w:val="24"/>
          <w:szCs w:val="24"/>
        </w:rPr>
        <w:t>what the study needs to know</w:t>
      </w:r>
      <w:r>
        <w:rPr>
          <w:rFonts w:ascii="Times New Roman" w:eastAsia="Times New Roman" w:hAnsi="Times New Roman" w:cs="Times New Roman"/>
          <w:sz w:val="24"/>
          <w:szCs w:val="24"/>
        </w:rPr>
        <w:t xml:space="preserve"> in order to do it. The distinction matters because it disciplines the relationship between the study's conceptual ambitions and its data collection and analytical methods: every instrument, every sample, every model must ultimately be justifiable as a means of answering at least one of these questions. The five research questions presented here are derived directly from the five specific objectives, maintaining a one-to-one correspondence that preserves the two-tier diagnostic and analytical–applied structure established in Section 1.6. The first three questions are diagnostic in orientation — they investigate the structure, performance, and constraints of the current distribution system. The final two are analytical–applied — they ask how specifically designed models and frameworks can improve upon the conditions the diagnostic questions document.</w:t>
      </w:r>
    </w:p>
    <w:p w14:paraId="1579A36E" w14:textId="77777777" w:rsidR="00C84B2B" w:rsidRDefault="00C84B2B" w:rsidP="00C84B2B">
      <w:pPr>
        <w:spacing w:before="200" w:after="80" w:line="360" w:lineRule="auto"/>
        <w:ind w:left="360"/>
        <w:jc w:val="both"/>
      </w:pPr>
      <w:r>
        <w:rPr>
          <w:rFonts w:ascii="Times New Roman" w:eastAsia="Times New Roman" w:hAnsi="Times New Roman" w:cs="Times New Roman"/>
          <w:b/>
          <w:bCs/>
          <w:sz w:val="24"/>
          <w:szCs w:val="24"/>
        </w:rPr>
        <w:t>RQ</w:t>
      </w:r>
      <w:proofErr w:type="gramStart"/>
      <w:r>
        <w:rPr>
          <w:rFonts w:ascii="Times New Roman" w:eastAsia="Times New Roman" w:hAnsi="Times New Roman" w:cs="Times New Roman"/>
          <w:b/>
          <w:bCs/>
          <w:sz w:val="24"/>
          <w:szCs w:val="24"/>
        </w:rPr>
        <w:t xml:space="preserve">1  </w:t>
      </w:r>
      <w:r>
        <w:rPr>
          <w:rFonts w:ascii="Times New Roman" w:eastAsia="Times New Roman" w:hAnsi="Times New Roman" w:cs="Times New Roman"/>
          <w:i/>
          <w:iCs/>
          <w:color w:val="555555"/>
          <w:sz w:val="22"/>
        </w:rPr>
        <w:t>[</w:t>
      </w:r>
      <w:proofErr w:type="gramEnd"/>
      <w:r>
        <w:rPr>
          <w:rFonts w:ascii="Times New Roman" w:eastAsia="Times New Roman" w:hAnsi="Times New Roman" w:cs="Times New Roman"/>
          <w:i/>
          <w:iCs/>
          <w:color w:val="555555"/>
          <w:sz w:val="22"/>
        </w:rPr>
        <w:t>Serves Objective 1]</w:t>
      </w:r>
    </w:p>
    <w:p w14:paraId="767F829C" w14:textId="77777777" w:rsidR="00C84B2B" w:rsidRDefault="00C84B2B" w:rsidP="00C84B2B">
      <w:pPr>
        <w:spacing w:after="100" w:line="360" w:lineRule="auto"/>
        <w:ind w:left="360" w:right="360"/>
        <w:jc w:val="both"/>
      </w:pPr>
      <w:r>
        <w:rPr>
          <w:rFonts w:ascii="Times New Roman" w:eastAsia="Times New Roman" w:hAnsi="Times New Roman" w:cs="Times New Roman"/>
          <w:b/>
          <w:bCs/>
          <w:i/>
          <w:iCs/>
          <w:sz w:val="24"/>
          <w:szCs w:val="24"/>
        </w:rPr>
        <w:t>What infrastructural, institutional, informational, and organizational factors determine the efficiency and equity of Malta distribution channels in the Garhwal region, and how do these factors vary across farm sizes, elevations, and district sub-contexts?</w:t>
      </w:r>
    </w:p>
    <w:p w14:paraId="14C2833D" w14:textId="77777777" w:rsidR="00C84B2B" w:rsidRDefault="00C84B2B" w:rsidP="00C84B2B">
      <w:pPr>
        <w:spacing w:after="220" w:line="360" w:lineRule="auto"/>
        <w:ind w:left="360"/>
        <w:jc w:val="both"/>
      </w:pPr>
      <w:r>
        <w:rPr>
          <w:rFonts w:ascii="Times New Roman" w:eastAsia="Times New Roman" w:hAnsi="Times New Roman" w:cs="Times New Roman"/>
          <w:sz w:val="24"/>
          <w:szCs w:val="24"/>
        </w:rPr>
        <w:t xml:space="preserve">This question is the analytical foundation of the study. The existing literature establishes that distribution channel performance varies significantly across the Garhwal belt — producer price shares range from 8% to 68% in documented studies — but has not identified what drives that variation. Answering this question requires primary data from multiple districts and a framework capable of disaggregating the contributions of different factor categories to observed channel outcomes. The inclusion of farm size, elevation, and district as moderating variables reflects the finding from the literature review that Garhwal's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-economic context is internally heterogeneous in ways that single-district studies have been unable to capture.</w:t>
      </w:r>
    </w:p>
    <w:p w14:paraId="05316DE4" w14:textId="77777777" w:rsidR="00C84B2B" w:rsidRDefault="00C84B2B" w:rsidP="00C84B2B">
      <w:pPr>
        <w:spacing w:before="200" w:after="80" w:line="360" w:lineRule="auto"/>
        <w:ind w:left="360"/>
        <w:jc w:val="both"/>
      </w:pPr>
      <w:r>
        <w:rPr>
          <w:rFonts w:ascii="Times New Roman" w:eastAsia="Times New Roman" w:hAnsi="Times New Roman" w:cs="Times New Roman"/>
          <w:b/>
          <w:bCs/>
          <w:sz w:val="24"/>
          <w:szCs w:val="24"/>
        </w:rPr>
        <w:t>RQ</w:t>
      </w:r>
      <w:proofErr w:type="gramStart"/>
      <w:r>
        <w:rPr>
          <w:rFonts w:ascii="Times New Roman" w:eastAsia="Times New Roman" w:hAnsi="Times New Roman" w:cs="Times New Roman"/>
          <w:b/>
          <w:bCs/>
          <w:sz w:val="24"/>
          <w:szCs w:val="24"/>
        </w:rPr>
        <w:t xml:space="preserve">2  </w:t>
      </w:r>
      <w:r>
        <w:rPr>
          <w:rFonts w:ascii="Times New Roman" w:eastAsia="Times New Roman" w:hAnsi="Times New Roman" w:cs="Times New Roman"/>
          <w:i/>
          <w:iCs/>
          <w:color w:val="555555"/>
          <w:sz w:val="22"/>
        </w:rPr>
        <w:t>[</w:t>
      </w:r>
      <w:proofErr w:type="gramEnd"/>
      <w:r>
        <w:rPr>
          <w:rFonts w:ascii="Times New Roman" w:eastAsia="Times New Roman" w:hAnsi="Times New Roman" w:cs="Times New Roman"/>
          <w:i/>
          <w:iCs/>
          <w:color w:val="555555"/>
          <w:sz w:val="22"/>
        </w:rPr>
        <w:t>Serves Objective 2]</w:t>
      </w:r>
    </w:p>
    <w:p w14:paraId="5451762E" w14:textId="77777777" w:rsidR="00C84B2B" w:rsidRDefault="00C84B2B" w:rsidP="00C84B2B">
      <w:pPr>
        <w:spacing w:after="100" w:line="360" w:lineRule="auto"/>
        <w:ind w:left="360" w:right="360"/>
        <w:jc w:val="both"/>
      </w:pPr>
      <w:r>
        <w:rPr>
          <w:rFonts w:ascii="Times New Roman" w:eastAsia="Times New Roman" w:hAnsi="Times New Roman" w:cs="Times New Roman"/>
          <w:b/>
          <w:bCs/>
          <w:i/>
          <w:iCs/>
          <w:sz w:val="24"/>
          <w:szCs w:val="24"/>
        </w:rPr>
        <w:t xml:space="preserve">How do the prevailing marketing channel configurations for Malta in Uttarakhand perform in terms of producer price shares, marketing costs, post-harvest loss rates, and </w:t>
      </w:r>
      <w:r>
        <w:rPr>
          <w:rFonts w:ascii="Times New Roman" w:eastAsia="Times New Roman" w:hAnsi="Times New Roman" w:cs="Times New Roman"/>
          <w:b/>
          <w:bCs/>
          <w:i/>
          <w:iCs/>
          <w:sz w:val="24"/>
          <w:szCs w:val="24"/>
        </w:rPr>
        <w:lastRenderedPageBreak/>
        <w:t>responsiveness to regional market dynamics, and where are the most significant performance deficits concentrated?</w:t>
      </w:r>
    </w:p>
    <w:p w14:paraId="542F9EF2" w14:textId="77777777" w:rsidR="00C84B2B" w:rsidRDefault="00C84B2B" w:rsidP="00C84B2B">
      <w:pPr>
        <w:spacing w:after="220" w:line="360" w:lineRule="auto"/>
        <w:ind w:left="360"/>
        <w:jc w:val="both"/>
      </w:pPr>
      <w:r>
        <w:rPr>
          <w:rFonts w:ascii="Times New Roman" w:eastAsia="Times New Roman" w:hAnsi="Times New Roman" w:cs="Times New Roman"/>
          <w:sz w:val="24"/>
          <w:szCs w:val="24"/>
        </w:rPr>
        <w:t>Where RQ1 asks about the factors underlying channel performance, RQ2 asks about the outcomes those factors produce — what producers actually receive, what is lost, and at which nodes in the chain the most severe inefficiencies occur. This distinction between explanatory factors and performance outcomes is analytically important: the two questions together establish both the scale of the problem and its causal structure, which is the minimum evidence base required to design targeted improvements. The focus on 'responsiveness to regional market dynamics' also addresses a gap in existing studies, which have tended to assess channel efficiency as a static snapshot rather than as a dynamic response to seasonal demand and price fluctuations.</w:t>
      </w:r>
    </w:p>
    <w:p w14:paraId="41F19AC2" w14:textId="77777777" w:rsidR="00C84B2B" w:rsidRDefault="00C84B2B" w:rsidP="00C84B2B">
      <w:pPr>
        <w:spacing w:before="200" w:after="80" w:line="360" w:lineRule="auto"/>
        <w:ind w:left="360"/>
        <w:jc w:val="both"/>
      </w:pPr>
      <w:r>
        <w:rPr>
          <w:rFonts w:ascii="Times New Roman" w:eastAsia="Times New Roman" w:hAnsi="Times New Roman" w:cs="Times New Roman"/>
          <w:b/>
          <w:bCs/>
          <w:sz w:val="24"/>
          <w:szCs w:val="24"/>
        </w:rPr>
        <w:t>RQ</w:t>
      </w:r>
      <w:proofErr w:type="gramStart"/>
      <w:r>
        <w:rPr>
          <w:rFonts w:ascii="Times New Roman" w:eastAsia="Times New Roman" w:hAnsi="Times New Roman" w:cs="Times New Roman"/>
          <w:b/>
          <w:bCs/>
          <w:sz w:val="24"/>
          <w:szCs w:val="24"/>
        </w:rPr>
        <w:t xml:space="preserve">3  </w:t>
      </w:r>
      <w:r>
        <w:rPr>
          <w:rFonts w:ascii="Times New Roman" w:eastAsia="Times New Roman" w:hAnsi="Times New Roman" w:cs="Times New Roman"/>
          <w:i/>
          <w:iCs/>
          <w:color w:val="555555"/>
          <w:sz w:val="22"/>
        </w:rPr>
        <w:t>[</w:t>
      </w:r>
      <w:proofErr w:type="gramEnd"/>
      <w:r>
        <w:rPr>
          <w:rFonts w:ascii="Times New Roman" w:eastAsia="Times New Roman" w:hAnsi="Times New Roman" w:cs="Times New Roman"/>
          <w:i/>
          <w:iCs/>
          <w:color w:val="555555"/>
          <w:sz w:val="22"/>
        </w:rPr>
        <w:t>Serves Objective 3]</w:t>
      </w:r>
    </w:p>
    <w:p w14:paraId="6CCACD14" w14:textId="77777777" w:rsidR="00C84B2B" w:rsidRDefault="00C84B2B" w:rsidP="00C84B2B">
      <w:pPr>
        <w:spacing w:after="100" w:line="360" w:lineRule="auto"/>
        <w:ind w:left="360" w:right="360"/>
        <w:jc w:val="both"/>
      </w:pPr>
      <w:r>
        <w:rPr>
          <w:rFonts w:ascii="Times New Roman" w:eastAsia="Times New Roman" w:hAnsi="Times New Roman" w:cs="Times New Roman"/>
          <w:b/>
          <w:bCs/>
          <w:i/>
          <w:iCs/>
          <w:sz w:val="24"/>
          <w:szCs w:val="24"/>
        </w:rPr>
        <w:t>What are the specific constraints — physical, institutional, and informational — experienced by farmers, traders, and other value chain stakeholders in the Malta marketing process, and at which points in the chain are those constraints most binding for smallholder producers?</w:t>
      </w:r>
    </w:p>
    <w:p w14:paraId="3B2A78D8" w14:textId="77777777" w:rsidR="00C84B2B" w:rsidRDefault="00C84B2B" w:rsidP="00C84B2B">
      <w:pPr>
        <w:spacing w:after="220" w:line="360" w:lineRule="auto"/>
        <w:ind w:left="360"/>
        <w:jc w:val="both"/>
      </w:pPr>
      <w:r>
        <w:rPr>
          <w:rFonts w:ascii="Times New Roman" w:eastAsia="Times New Roman" w:hAnsi="Times New Roman" w:cs="Times New Roman"/>
          <w:sz w:val="24"/>
          <w:szCs w:val="24"/>
        </w:rPr>
        <w:t xml:space="preserve">This question extends the study's diagnostic scope beyond the farm gate to encompass the full network of actors through whom Malta moves from orchard to consumer. The stakeholder-inclusive framing is deliberate: constraints that appear binding from the farmer's perspective may be facilitative from the </w:t>
      </w:r>
      <w:proofErr w:type="gramStart"/>
      <w:r>
        <w:rPr>
          <w:rFonts w:ascii="Times New Roman" w:eastAsia="Times New Roman" w:hAnsi="Times New Roman" w:cs="Times New Roman"/>
          <w:sz w:val="24"/>
          <w:szCs w:val="24"/>
        </w:rPr>
        <w:t>trader's</w:t>
      </w:r>
      <w:proofErr w:type="gramEnd"/>
      <w:r>
        <w:rPr>
          <w:rFonts w:ascii="Times New Roman" w:eastAsia="Times New Roman" w:hAnsi="Times New Roman" w:cs="Times New Roman"/>
          <w:sz w:val="24"/>
          <w:szCs w:val="24"/>
        </w:rPr>
        <w:t>, and vice versa, meaning that interventions designed on the basis of farmer evidence alone risk creating zero-sum redistributions rather than genuine system-level improvements. The specific focus on 'most binding' constraints is also methodologically significant, as it directs the analysis toward identifying the leverage points where intervention would produce the greatest aggregate improvement — a question that is directly actionable for policymakers.</w:t>
      </w:r>
    </w:p>
    <w:p w14:paraId="0605CC8D" w14:textId="77777777" w:rsidR="00C84B2B" w:rsidRDefault="00C84B2B" w:rsidP="00C84B2B">
      <w:pPr>
        <w:spacing w:before="200" w:after="80" w:line="360" w:lineRule="auto"/>
        <w:ind w:left="360"/>
        <w:jc w:val="both"/>
      </w:pPr>
      <w:r>
        <w:rPr>
          <w:rFonts w:ascii="Times New Roman" w:eastAsia="Times New Roman" w:hAnsi="Times New Roman" w:cs="Times New Roman"/>
          <w:b/>
          <w:bCs/>
          <w:sz w:val="24"/>
          <w:szCs w:val="24"/>
        </w:rPr>
        <w:t>RQ</w:t>
      </w:r>
      <w:proofErr w:type="gramStart"/>
      <w:r>
        <w:rPr>
          <w:rFonts w:ascii="Times New Roman" w:eastAsia="Times New Roman" w:hAnsi="Times New Roman" w:cs="Times New Roman"/>
          <w:b/>
          <w:bCs/>
          <w:sz w:val="24"/>
          <w:szCs w:val="24"/>
        </w:rPr>
        <w:t xml:space="preserve">4  </w:t>
      </w:r>
      <w:r>
        <w:rPr>
          <w:rFonts w:ascii="Times New Roman" w:eastAsia="Times New Roman" w:hAnsi="Times New Roman" w:cs="Times New Roman"/>
          <w:i/>
          <w:iCs/>
          <w:color w:val="555555"/>
          <w:sz w:val="22"/>
        </w:rPr>
        <w:t>[</w:t>
      </w:r>
      <w:proofErr w:type="gramEnd"/>
      <w:r>
        <w:rPr>
          <w:rFonts w:ascii="Times New Roman" w:eastAsia="Times New Roman" w:hAnsi="Times New Roman" w:cs="Times New Roman"/>
          <w:i/>
          <w:iCs/>
          <w:color w:val="555555"/>
          <w:sz w:val="22"/>
        </w:rPr>
        <w:t>Serves Objective 4]</w:t>
      </w:r>
    </w:p>
    <w:p w14:paraId="2784E6F6" w14:textId="77777777" w:rsidR="00C84B2B" w:rsidRDefault="00C84B2B" w:rsidP="00C84B2B">
      <w:pPr>
        <w:spacing w:after="100" w:line="360" w:lineRule="auto"/>
        <w:ind w:left="360" w:right="360"/>
        <w:jc w:val="both"/>
      </w:pPr>
      <w:r>
        <w:rPr>
          <w:rFonts w:ascii="Times New Roman" w:eastAsia="Times New Roman" w:hAnsi="Times New Roman" w:cs="Times New Roman"/>
          <w:b/>
          <w:bCs/>
          <w:i/>
          <w:iCs/>
          <w:sz w:val="24"/>
          <w:szCs w:val="24"/>
        </w:rPr>
        <w:t xml:space="preserve">What transportation model, designed for the specific terrain, seasonal road accessibility, perishability constraints, and cost minimization requirements of the Garhwal context, </w:t>
      </w:r>
      <w:r>
        <w:rPr>
          <w:rFonts w:ascii="Times New Roman" w:eastAsia="Times New Roman" w:hAnsi="Times New Roman" w:cs="Times New Roman"/>
          <w:b/>
          <w:bCs/>
          <w:i/>
          <w:iCs/>
          <w:sz w:val="24"/>
          <w:szCs w:val="24"/>
        </w:rPr>
        <w:lastRenderedPageBreak/>
        <w:t>would most effectively optimize the movement of Malta from production sites to consumer markets?</w:t>
      </w:r>
    </w:p>
    <w:p w14:paraId="309D2583" w14:textId="77777777" w:rsidR="00C84B2B" w:rsidRDefault="00C84B2B" w:rsidP="00C84B2B">
      <w:pPr>
        <w:spacing w:after="220" w:line="360" w:lineRule="auto"/>
        <w:ind w:left="360"/>
        <w:jc w:val="both"/>
      </w:pPr>
      <w:r>
        <w:rPr>
          <w:rFonts w:ascii="Times New Roman" w:eastAsia="Times New Roman" w:hAnsi="Times New Roman" w:cs="Times New Roman"/>
          <w:sz w:val="24"/>
          <w:szCs w:val="24"/>
        </w:rPr>
        <w:t>This question marks the transition from diagnosis to design. Having established, through RQ1–3, the nature and distribution of the constraints facing Malta's supply chain, RQ4 asks how a structured transportation model can be engineered to work within and around those constraints. The question is intentionally context-specific: a generic transportation optimization model derived from plains logistics would not adequately account for the seasonal road blockages, altitude-related access limitations, and perishability-driven time pressures that are constitutive of the Garhwal problem. The model developed in response to this question is therefore not an application of existing frameworks but an adaptation calibrated to the regional context that the diagnostic questions characterize.</w:t>
      </w:r>
    </w:p>
    <w:p w14:paraId="17B4EAA2" w14:textId="77777777" w:rsidR="00C84B2B" w:rsidRDefault="00C84B2B" w:rsidP="00C84B2B">
      <w:pPr>
        <w:spacing w:before="200" w:after="80" w:line="360" w:lineRule="auto"/>
        <w:ind w:left="360"/>
        <w:jc w:val="both"/>
      </w:pPr>
      <w:r>
        <w:rPr>
          <w:rFonts w:ascii="Times New Roman" w:eastAsia="Times New Roman" w:hAnsi="Times New Roman" w:cs="Times New Roman"/>
          <w:b/>
          <w:bCs/>
          <w:sz w:val="24"/>
          <w:szCs w:val="24"/>
        </w:rPr>
        <w:t>RQ</w:t>
      </w:r>
      <w:proofErr w:type="gramStart"/>
      <w:r>
        <w:rPr>
          <w:rFonts w:ascii="Times New Roman" w:eastAsia="Times New Roman" w:hAnsi="Times New Roman" w:cs="Times New Roman"/>
          <w:b/>
          <w:bCs/>
          <w:sz w:val="24"/>
          <w:szCs w:val="24"/>
        </w:rPr>
        <w:t xml:space="preserve">5  </w:t>
      </w:r>
      <w:r>
        <w:rPr>
          <w:rFonts w:ascii="Times New Roman" w:eastAsia="Times New Roman" w:hAnsi="Times New Roman" w:cs="Times New Roman"/>
          <w:i/>
          <w:iCs/>
          <w:color w:val="555555"/>
          <w:sz w:val="22"/>
        </w:rPr>
        <w:t>[</w:t>
      </w:r>
      <w:proofErr w:type="gramEnd"/>
      <w:r>
        <w:rPr>
          <w:rFonts w:ascii="Times New Roman" w:eastAsia="Times New Roman" w:hAnsi="Times New Roman" w:cs="Times New Roman"/>
          <w:i/>
          <w:iCs/>
          <w:color w:val="555555"/>
          <w:sz w:val="22"/>
        </w:rPr>
        <w:t>Serves Objective 5]</w:t>
      </w:r>
    </w:p>
    <w:p w14:paraId="129A0CBD" w14:textId="77777777" w:rsidR="00C84B2B" w:rsidRDefault="00C84B2B" w:rsidP="00C84B2B">
      <w:pPr>
        <w:spacing w:after="100" w:line="360" w:lineRule="auto"/>
        <w:ind w:left="360" w:right="360"/>
        <w:jc w:val="both"/>
      </w:pPr>
      <w:r>
        <w:rPr>
          <w:rFonts w:ascii="Times New Roman" w:eastAsia="Times New Roman" w:hAnsi="Times New Roman" w:cs="Times New Roman"/>
          <w:b/>
          <w:bCs/>
          <w:i/>
          <w:iCs/>
          <w:sz w:val="24"/>
          <w:szCs w:val="24"/>
        </w:rPr>
        <w:t>How can a fuzzy logic-based framework be designed to assess and manage Malta quality during distribution and storage, and to what extent can such a framework reduce quality-related losses and improve price realization at terminal markets under conditions of uncertainty?</w:t>
      </w:r>
    </w:p>
    <w:p w14:paraId="3AE777DE" w14:textId="77777777" w:rsidR="00C84B2B" w:rsidRDefault="00C84B2B" w:rsidP="00C84B2B">
      <w:pPr>
        <w:spacing w:after="220" w:line="360" w:lineRule="auto"/>
        <w:ind w:left="360"/>
        <w:jc w:val="both"/>
      </w:pPr>
      <w:r>
        <w:rPr>
          <w:rFonts w:ascii="Times New Roman" w:eastAsia="Times New Roman" w:hAnsi="Times New Roman" w:cs="Times New Roman"/>
          <w:sz w:val="24"/>
          <w:szCs w:val="24"/>
        </w:rPr>
        <w:t>The final research question addresses the quality dimension of distribution channel performance — a dimension that is particularly consequential for Malta given its susceptibility to mechanical damage, temperature fluctuation, and transit delay. Fuzzy logic is the appropriate analytical tool for this question because the variables governing Malta quality at the point of sale — handling conditions, ambient temperature, packaging integrity, storage duration — are individually imprecise and collectively resistant to conventional crisp-boundary classification. The question is framed around both framework design and measurable outcome ('to what extent can such a framework reduce losses') to ensure that the analytical contribution is evaluated against practical benchmarks rather than remaining at the level of theoretical construction.</w:t>
      </w:r>
    </w:p>
    <w:p w14:paraId="5CEE44E1" w14:textId="77777777" w:rsidR="00C84B2B" w:rsidRDefault="00C84B2B" w:rsidP="00C84B2B">
      <w:pPr>
        <w:pStyle w:val="Heading2"/>
      </w:pPr>
      <w:r>
        <w:t>Coherence of the Question Set</w:t>
      </w:r>
    </w:p>
    <w:p w14:paraId="3BD565A6" w14:textId="77777777" w:rsidR="00C84B2B" w:rsidRDefault="00C84B2B" w:rsidP="00C84B2B">
      <w:pPr>
        <w:spacing w:after="180" w:line="360" w:lineRule="auto"/>
        <w:jc w:val="both"/>
      </w:pPr>
      <w:r>
        <w:rPr>
          <w:rFonts w:ascii="Times New Roman" w:eastAsia="Times New Roman" w:hAnsi="Times New Roman" w:cs="Times New Roman"/>
          <w:sz w:val="24"/>
          <w:szCs w:val="24"/>
        </w:rPr>
        <w:t xml:space="preserve">Taken together, the five research questions constitute a logically ordered inquiry that mirrors the structure of the study's objectives and the arc of the argument developed across Chapter One. RQ1 </w:t>
      </w:r>
      <w:r>
        <w:rPr>
          <w:rFonts w:ascii="Times New Roman" w:eastAsia="Times New Roman" w:hAnsi="Times New Roman" w:cs="Times New Roman"/>
          <w:sz w:val="24"/>
          <w:szCs w:val="24"/>
        </w:rPr>
        <w:lastRenderedPageBreak/>
        <w:t>and RQ2 together establish the analytical profile of the problem — what factors drive it and what outcomes it produces. RQ3 deepens that profile by grounding it in the lived experience of the value chain's human actors. RQ4 and RQ5 then leverage that diagnostic foundation to design frameworks with specific operational functions: one addressing the movement of Malta through the supply chain, and the other addressing the condition of the product as it moves. The progression from diagnosis to design is not merely organizational convenience; it is an epistemological commitment — the study will not propose solutions to problems it has not first rigorously characterized.</w:t>
      </w:r>
    </w:p>
    <w:p w14:paraId="04A95917" w14:textId="77777777" w:rsidR="00C84B2B" w:rsidRDefault="00C84B2B" w:rsidP="00C84B2B">
      <w:pPr>
        <w:spacing w:after="180" w:line="360" w:lineRule="auto"/>
        <w:jc w:val="both"/>
      </w:pPr>
      <w:r>
        <w:rPr>
          <w:rFonts w:ascii="Times New Roman" w:eastAsia="Times New Roman" w:hAnsi="Times New Roman" w:cs="Times New Roman"/>
          <w:sz w:val="24"/>
          <w:szCs w:val="24"/>
        </w:rPr>
        <w:t xml:space="preserve">This commitment also has methodological implications that will be developed in Chapter Three. The diagnostic questions (RQ1–3) will primarily be addressed through primary data collection using structured survey instruments and stakeholder interviews, while the analytical–applied questions (RQ4–5) will require quantitative modelling techniques — transportation optimization and fuzzy logic framework development respectively — that operate on the empirical inputs the diagnostic work provides. The research design is therefore not a set of parallel, independent studies but a genuinely integrated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in which each phase of the inquiry provides the foundation for the next.</w:t>
      </w:r>
    </w:p>
    <w:p w14:paraId="261F7D19" w14:textId="77777777" w:rsidR="00D05627" w:rsidRDefault="00D05627" w:rsidP="00D05627">
      <w:pPr>
        <w:pStyle w:val="Heading1"/>
      </w:pPr>
      <w:r>
        <w:t>1.9 Scope and Delimitations of the Study</w:t>
      </w:r>
    </w:p>
    <w:p w14:paraId="210EDF75" w14:textId="77777777" w:rsidR="00D05627" w:rsidRDefault="00D05627" w:rsidP="00D05627">
      <w:pPr>
        <w:spacing w:after="180" w:line="360" w:lineRule="auto"/>
        <w:jc w:val="both"/>
      </w:pPr>
      <w:r>
        <w:rPr>
          <w:rFonts w:ascii="Times New Roman" w:eastAsia="Times New Roman" w:hAnsi="Times New Roman" w:cs="Times New Roman"/>
          <w:sz w:val="24"/>
          <w:szCs w:val="24"/>
        </w:rPr>
        <w:t>Every empirical study operates within a defined boundary, and the intellectual honesty of a research design is in part measured by how clearly and candidly that boundary is drawn. For the present study — whose research questions and objectives are oriented toward the distribution channel challenges facing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producers in the Garhwal region — the scope and delimitations are not arbitrary constraints imposed by practical convenience but deliberate analytical choices grounded in the arguments developed throughout Chapter One. The study's scope defines the terrain within which its findings can be considered authoritative; its delimitations acknowledge, with equal transparency, the terrain it does not cover and the implications of that exclusion for the generalizability of its conclusions. Three dimensions of scope and delimitation are discussed below: geographical coverage, temporal coverage, and product and value-chain focus.</w:t>
      </w:r>
    </w:p>
    <w:p w14:paraId="529F47E5" w14:textId="77777777" w:rsidR="00D05627" w:rsidRDefault="00D05627" w:rsidP="00D05627">
      <w:pPr>
        <w:pStyle w:val="Heading2"/>
      </w:pPr>
      <w:r>
        <w:t>1.9.1  Geographical Scope</w:t>
      </w:r>
    </w:p>
    <w:p w14:paraId="43960577" w14:textId="77777777" w:rsidR="00D05627" w:rsidRDefault="00D05627" w:rsidP="00D05627">
      <w:pPr>
        <w:spacing w:after="180" w:line="360" w:lineRule="auto"/>
        <w:jc w:val="both"/>
      </w:pPr>
      <w:r>
        <w:rPr>
          <w:rFonts w:ascii="Times New Roman" w:eastAsia="Times New Roman" w:hAnsi="Times New Roman" w:cs="Times New Roman"/>
          <w:sz w:val="24"/>
          <w:szCs w:val="24"/>
        </w:rPr>
        <w:lastRenderedPageBreak/>
        <w:t xml:space="preserve">The study is geographically bounded to the Garhwal division of Uttarakhand, with primary data collected from key Malta-producing and marketing districts including Tehri Garhwal, </w:t>
      </w:r>
      <w:proofErr w:type="spellStart"/>
      <w:r>
        <w:rPr>
          <w:rFonts w:ascii="Times New Roman" w:eastAsia="Times New Roman" w:hAnsi="Times New Roman" w:cs="Times New Roman"/>
          <w:sz w:val="24"/>
          <w:szCs w:val="24"/>
        </w:rPr>
        <w:t>Rudraprayag</w:t>
      </w:r>
      <w:proofErr w:type="spellEnd"/>
      <w:r>
        <w:rPr>
          <w:rFonts w:ascii="Times New Roman" w:eastAsia="Times New Roman" w:hAnsi="Times New Roman" w:cs="Times New Roman"/>
          <w:sz w:val="24"/>
          <w:szCs w:val="24"/>
        </w:rPr>
        <w:t xml:space="preserve">, Pauri Garhwal, Chamoli, and Dehradun. The justification for this boundary is not merely logistical but analytical: as established in Sections 1.1 through 1.3, the distribution challenges facing Malta producers are shaped in specific and consequential ways by Garhwal's distinctive combination of mid-altitude terrain, fragmented smallholdings, seasonal road accessibility, and the demographic pressures of rural out-migration. These conditions differ materially from those prevailing in the Kumaon division of Uttarakhand — which has different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-climatic characteristics, distinct crop composition, and its own infrastructure profile — and from the broader Indian citrus belt, where plains geography and more developed rural road networks produce a structurally different marketing environment. A study that attempted to cover both divisions, or to position Garhwal's findings within a state-wide or national framework, would risk obscuring precisely the region-specific dynamics that the research questions are designed to investigate.</w:t>
      </w:r>
    </w:p>
    <w:p w14:paraId="6D5C87EF" w14:textId="77777777" w:rsidR="00D05627" w:rsidRDefault="00D05627" w:rsidP="00D05627">
      <w:pPr>
        <w:spacing w:after="180" w:line="360" w:lineRule="auto"/>
        <w:jc w:val="both"/>
      </w:pPr>
      <w:r>
        <w:rPr>
          <w:rFonts w:ascii="Times New Roman" w:eastAsia="Times New Roman" w:hAnsi="Times New Roman" w:cs="Times New Roman"/>
          <w:sz w:val="24"/>
          <w:szCs w:val="24"/>
        </w:rPr>
        <w:t xml:space="preserve">Within the Garhwal boundary, primary data collection encompasses multiple nodes of the distribution chain: production areas and farm gates, village agents and contractors, wholesale collection points and local mandis, and retail outlets serving end consumers. This multi-nodal coverage is necessary to answer Research Questions 1 through 3, which ask about factors, performance outcomes, and stakeholder constraints across the chain as a whole rather than at any single point. The specific districts selected — Tehri Garhwal, </w:t>
      </w:r>
      <w:proofErr w:type="spellStart"/>
      <w:r>
        <w:rPr>
          <w:rFonts w:ascii="Times New Roman" w:eastAsia="Times New Roman" w:hAnsi="Times New Roman" w:cs="Times New Roman"/>
          <w:sz w:val="24"/>
          <w:szCs w:val="24"/>
        </w:rPr>
        <w:t>Rudraprayag</w:t>
      </w:r>
      <w:proofErr w:type="spellEnd"/>
      <w:r>
        <w:rPr>
          <w:rFonts w:ascii="Times New Roman" w:eastAsia="Times New Roman" w:hAnsi="Times New Roman" w:cs="Times New Roman"/>
          <w:sz w:val="24"/>
          <w:szCs w:val="24"/>
        </w:rPr>
        <w:t>, Pauri Garhwal, Chamoli, and Dehradun — represent the primary concentration of Malta cultivation and marketing activity within the division and have been the sites of the most relevant prior research, enabling continuity with the evidence base reviewed in Chapter One while extending its analytical scope.</w:t>
      </w:r>
    </w:p>
    <w:p w14:paraId="11D7D6A3" w14:textId="77777777" w:rsidR="00D05627" w:rsidRDefault="00D05627" w:rsidP="00D05627">
      <w:pPr>
        <w:spacing w:after="180" w:line="360" w:lineRule="auto"/>
        <w:jc w:val="both"/>
      </w:pPr>
      <w:r>
        <w:rPr>
          <w:rFonts w:ascii="Times New Roman" w:eastAsia="Times New Roman" w:hAnsi="Times New Roman" w:cs="Times New Roman"/>
          <w:sz w:val="24"/>
          <w:szCs w:val="24"/>
        </w:rPr>
        <w:t xml:space="preserve">The most significant delimitation implied by this geographical focus is the constraint it places on generalizability. Findings from this study will be directly applicable to Malta distribution in Garhwal, and cautiously indicative for comparable hill-district contexts in the broader western Himalayan belt. They should not be applied, without qualification, to citrus marketing in plains districts, in Kumaon, or in other hill states where the specific combination of terrain, infrastructure, and institutional conditions differs from that which defines Garhwal. This is not a weakness of the study's design but a consequence of its central argument: that Garhwal's distribution problem is </w:t>
      </w:r>
      <w:r>
        <w:rPr>
          <w:rFonts w:ascii="Times New Roman" w:eastAsia="Times New Roman" w:hAnsi="Times New Roman" w:cs="Times New Roman"/>
          <w:sz w:val="24"/>
          <w:szCs w:val="24"/>
        </w:rPr>
        <w:lastRenderedPageBreak/>
        <w:t>contextually specific in ways that general models have failed to capture, and that a rigorous, context-specific analysis is more valuable than a broad but superficial one.</w:t>
      </w:r>
    </w:p>
    <w:p w14:paraId="2051D39A" w14:textId="77777777" w:rsidR="00D05627" w:rsidRDefault="00D05627" w:rsidP="00D05627">
      <w:pPr>
        <w:pStyle w:val="Heading2"/>
      </w:pPr>
      <w:r>
        <w:t>1.9.2  Temporal Scope</w:t>
      </w:r>
    </w:p>
    <w:p w14:paraId="7E2F911C" w14:textId="77777777" w:rsidR="00D05627" w:rsidRDefault="00D05627" w:rsidP="00D05627">
      <w:pPr>
        <w:spacing w:after="180" w:line="360" w:lineRule="auto"/>
        <w:jc w:val="both"/>
      </w:pPr>
      <w:r>
        <w:rPr>
          <w:rFonts w:ascii="Times New Roman" w:eastAsia="Times New Roman" w:hAnsi="Times New Roman" w:cs="Times New Roman"/>
          <w:sz w:val="24"/>
          <w:szCs w:val="24"/>
        </w:rPr>
        <w:t>Primary data collection was conducted between January and March 2024, a period that encompasses the latter phase of Malta's peak harvest season, which typically runs from November through February in the Garhwal hill districts. This timing is deliberate: it captures the period of maximum marketing activity, when pricing dynamics, channel utilization, post-harvest handling pressures, and stakeholder interactions are most fully operative and most directly observable. Data collected during this window therefore reflects the distribution system under the conditions most relevant to the study's research questions, rather than the off-season conditions that characterize much of the agricultural calendar.</w:t>
      </w:r>
    </w:p>
    <w:p w14:paraId="01DEDB08" w14:textId="77777777" w:rsidR="00D05627" w:rsidRDefault="00D05627" w:rsidP="00D05627">
      <w:pPr>
        <w:spacing w:after="180" w:line="360" w:lineRule="auto"/>
        <w:jc w:val="both"/>
      </w:pPr>
      <w:r>
        <w:rPr>
          <w:rFonts w:ascii="Times New Roman" w:eastAsia="Times New Roman" w:hAnsi="Times New Roman" w:cs="Times New Roman"/>
          <w:sz w:val="24"/>
          <w:szCs w:val="24"/>
        </w:rPr>
        <w:t>Secondary data informing the study's background analysis and contextual framework is drawn from published sources spanning 2015 to 2023, with some foundational references dating to earlier periods where they represent essential baseline evidence — such as Saxena and Singh's (2015) marketing study and Choudhary et al.'s (2015) value chain intervention research. Analysis and write-up were completed by May 2024. The temporal delimitation this imposes is a cross-sectional rather than longitudinal design: the study provides a detailed snapshot of distribution channel performance during the 2023–24 harvest season but does not track changes in that performance over time. The practical implication is that year-on-year trends — whether in post-harvest loss rates, producer price shares, or the adoption of collective marketing models — cannot be reliably inferred from this study's primary findings alone, and should be interpreted in conjunction with the trend data available in secondary sources. A longitudinal follow-up study, conducted across multiple harvest seasons, would be a logical and valuable extension of the present work.</w:t>
      </w:r>
    </w:p>
    <w:p w14:paraId="5D857F1F" w14:textId="77777777" w:rsidR="00D05627" w:rsidRDefault="00D05627" w:rsidP="00D05627">
      <w:pPr>
        <w:spacing w:after="180" w:line="360" w:lineRule="auto"/>
        <w:jc w:val="both"/>
      </w:pPr>
      <w:r>
        <w:rPr>
          <w:rFonts w:ascii="Times New Roman" w:eastAsia="Times New Roman" w:hAnsi="Times New Roman" w:cs="Times New Roman"/>
          <w:sz w:val="24"/>
          <w:szCs w:val="24"/>
        </w:rPr>
        <w:t xml:space="preserve">A further temporal consideration concerns the potential influence of seasonal variability on the 2024 primary data. Weather conditions, road accessibility, and fruit volumes in any given harvest season are subject to climatic fluctuation, and the 2024 season may not be representative of average conditions across all years. Where such variability is potentially material to the interpretation of findings — for instance, in the case of transport costs or post-harvest loss rates — it is acknowledged in the relevant analysis chapters. The study's findings are accordingly presented as </w:t>
      </w:r>
      <w:r>
        <w:rPr>
          <w:rFonts w:ascii="Times New Roman" w:eastAsia="Times New Roman" w:hAnsi="Times New Roman" w:cs="Times New Roman"/>
          <w:sz w:val="24"/>
          <w:szCs w:val="24"/>
        </w:rPr>
        <w:lastRenderedPageBreak/>
        <w:t>characterizing the distribution system as it operated during the study period, rather than as time-invariant properties of the system.</w:t>
      </w:r>
    </w:p>
    <w:p w14:paraId="656AB176" w14:textId="77777777" w:rsidR="00D05627" w:rsidRDefault="00D05627" w:rsidP="00D05627">
      <w:pPr>
        <w:pStyle w:val="Heading2"/>
      </w:pPr>
      <w:r>
        <w:t>1.9.3  Product and Value Chain Scope</w:t>
      </w:r>
    </w:p>
    <w:p w14:paraId="4926ED9C" w14:textId="77777777" w:rsidR="00D05627" w:rsidRDefault="00D05627" w:rsidP="00D05627">
      <w:pPr>
        <w:spacing w:after="180" w:line="360" w:lineRule="auto"/>
        <w:jc w:val="both"/>
      </w:pPr>
      <w:r>
        <w:rPr>
          <w:rFonts w:ascii="Times New Roman" w:eastAsia="Times New Roman" w:hAnsi="Times New Roman" w:cs="Times New Roman"/>
          <w:sz w:val="24"/>
          <w:szCs w:val="24"/>
        </w:rPr>
        <w:t>The study focuses exclusively on fresh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xml:space="preserve"> L. Osbeck) as it moves through the distribution chain from the farm gate to the consumer or retail endpoint. This focus encompasses the full range of channel configurations identified in the literature — producer-to-contractor, producer-to-local retailer, and producer or cooperative-to-consumer — and includes analysis of the key operational processes that bear on distribution outcomes: post-harvest handling, transportation, grading and packaging quality, market information access, and price determination. The selection of Malta as the sole crop of focus, rather than a broader portfolio of Garhwal horticultural produce, reflects the argument developed in Section 1.2: that Malta occupies a distinctive and strategically important position in the region's agricultural economy, that its distribution challenges are sufficiently well-documented to support a structured analytical framework, and that its contextual specificity warrants dedicated rather than comparative study.</w:t>
      </w:r>
    </w:p>
    <w:p w14:paraId="7576492B" w14:textId="77777777" w:rsidR="00D05627" w:rsidRDefault="00D05627" w:rsidP="00D05627">
      <w:pPr>
        <w:spacing w:after="180" w:line="360" w:lineRule="auto"/>
        <w:jc w:val="both"/>
      </w:pPr>
      <w:r>
        <w:rPr>
          <w:rFonts w:ascii="Times New Roman" w:eastAsia="Times New Roman" w:hAnsi="Times New Roman" w:cs="Times New Roman"/>
          <w:sz w:val="24"/>
          <w:szCs w:val="24"/>
        </w:rPr>
        <w:t xml:space="preserve">Two classes of activity are deliberately excluded from the study's product and value chain scope. The first is upstream agricultural activity: cultivation practices, variety selection, input use, and on-farm agronomic management are not within the study's purview. This delimitation reflects the argument — established in the problem statement — that Malta's challenges are located downstream of production rather than within it. Yield and agronomic potential are not in question; it is what happens to the crop after it leaves the orchard that constrains farmer incomes and market performance. Including upstream analysis would substantially expand the study's data requirements without advancing its core research questions. The second exclusion is processed Malta products — juice, marmalade, squash, peel oil, and related value-added items. While the literature reviewed in Section 1.2 demonstrates that processing offers substantial income augmentation potential, the supply chains and distribution dynamics of processed products differ fundamentally from those of fresh fruit. Processed products have longer shelf lives, different quality assessment criteria, different buyer networks, and different cost structures. Incorporating them within the same analytical framework as fresh Malta would require either a much larger study or a significant dilution of the analytical depth applied to each. The delimitation to fresh fruit </w:t>
      </w:r>
      <w:r>
        <w:rPr>
          <w:rFonts w:ascii="Times New Roman" w:eastAsia="Times New Roman" w:hAnsi="Times New Roman" w:cs="Times New Roman"/>
          <w:sz w:val="24"/>
          <w:szCs w:val="24"/>
        </w:rPr>
        <w:lastRenderedPageBreak/>
        <w:t>therefore enhances rather than compromises the study's ability to produce rigorous, actionable findings within its defined scope.</w:t>
      </w:r>
    </w:p>
    <w:p w14:paraId="55E1EC1C" w14:textId="75630A26" w:rsidR="00D05627" w:rsidRDefault="00D05627" w:rsidP="00D05627">
      <w:pPr>
        <w:spacing w:after="1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Taken together, the three dimensions of scope and delimitation — geographical, temporal, and product-focused — define a study that is deliberately bounded but analytically ambitious within those bounds. The boundaries are drawn not to limit the study's relevance but to concentrate its analytical power on the context where that power is most urgently needed: the fresh Malta distribution system as it operates in the Garhwal hill districts of Uttarakhand during the contemporary marketing period. </w:t>
      </w:r>
    </w:p>
    <w:p w14:paraId="3B99F0F8" w14:textId="77777777" w:rsidR="00441C89" w:rsidRDefault="00441C89" w:rsidP="00D05627">
      <w:pPr>
        <w:spacing w:after="180" w:line="360" w:lineRule="auto"/>
        <w:jc w:val="both"/>
        <w:rPr>
          <w:rFonts w:ascii="Times New Roman" w:eastAsia="Times New Roman" w:hAnsi="Times New Roman" w:cs="Times New Roman"/>
          <w:sz w:val="24"/>
          <w:szCs w:val="24"/>
        </w:rPr>
      </w:pPr>
    </w:p>
    <w:p w14:paraId="77181D7B" w14:textId="77777777" w:rsidR="00441C89" w:rsidRDefault="00441C89" w:rsidP="00441C89">
      <w:pPr>
        <w:pStyle w:val="Heading1"/>
      </w:pPr>
      <w:r>
        <w:t>1.10 Significance of the Study</w:t>
      </w:r>
    </w:p>
    <w:p w14:paraId="732FF376" w14:textId="77777777" w:rsidR="00441C89" w:rsidRDefault="00441C89" w:rsidP="00441C89">
      <w:pPr>
        <w:spacing w:after="180" w:line="360" w:lineRule="auto"/>
        <w:jc w:val="both"/>
      </w:pPr>
      <w:r>
        <w:rPr>
          <w:rFonts w:ascii="Times New Roman" w:eastAsia="Times New Roman" w:hAnsi="Times New Roman" w:cs="Times New Roman"/>
          <w:sz w:val="24"/>
          <w:szCs w:val="24"/>
        </w:rPr>
        <w:t>The significance of a study is most credibly established not by asserting that it is important but by showing precisely what it adds to a conversation that was, until now, incomplete. Section 1.4 established that the existing literature on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marketing in Garhwal is primarily descriptive in orientation, narrow in geographic scope, and limited in its analytical capacity to identify the causal factors that drive distribution channel performance. The present study's significance — both theoretical and practical — is defined against that specific gap: it is significant to the extent that it produces knowledge the field did not previously possess, and actionable guidance that stakeholders could not previously access. This section articulates those contributions across two dimensions: the theoretical advancements the study makes to the academic literature on agricultural supply chain management in mountain contexts, and the practical implications it carries for the farmers, intermediaries, and policymakers who bear direct responsibility for Malta's value chain.</w:t>
      </w:r>
    </w:p>
    <w:p w14:paraId="119BF8C5" w14:textId="77777777" w:rsidR="00441C89" w:rsidRDefault="00441C89" w:rsidP="00441C89">
      <w:pPr>
        <w:pStyle w:val="Heading2"/>
      </w:pPr>
      <w:r>
        <w:t>1.10.1  Theoretical Contributions</w:t>
      </w:r>
    </w:p>
    <w:p w14:paraId="27A35DA2" w14:textId="77777777" w:rsidR="00441C89" w:rsidRDefault="00441C89" w:rsidP="00441C89">
      <w:pPr>
        <w:spacing w:after="180" w:line="360" w:lineRule="auto"/>
        <w:jc w:val="both"/>
      </w:pPr>
      <w:r>
        <w:rPr>
          <w:rFonts w:ascii="Times New Roman" w:eastAsia="Times New Roman" w:hAnsi="Times New Roman" w:cs="Times New Roman"/>
          <w:sz w:val="24"/>
          <w:szCs w:val="24"/>
        </w:rPr>
        <w:t xml:space="preserve">The study's most fundamental theoretical contribution is methodological in character: it is the first multi-district, empirically grounded investigation of the factors driving distribution channel efficiency for Malta in the Garhwal region, and as such it advances the agricultural marketing literature from description to causal analysis in this specific and previously under-examined context. Prior studies — including Saxena and Singh (2015), Gairola et al. (2023), and Sharma (2008) — established baseline data on channel structures, price spreads, and marketing costs, but </w:t>
      </w:r>
      <w:r>
        <w:rPr>
          <w:rFonts w:ascii="Times New Roman" w:eastAsia="Times New Roman" w:hAnsi="Times New Roman" w:cs="Times New Roman"/>
          <w:sz w:val="24"/>
          <w:szCs w:val="24"/>
        </w:rPr>
        <w:lastRenderedPageBreak/>
        <w:t>did not subject that data to factor analysis capable of identifying which variables most significantly explain the variation in producer price shares, post-harvest loss rates, and channel adoption patterns observed across the region. By conducting that analysis across multiple districts and disaggregating findings by farm size, elevation, and institutional context, this study produces the kind of explanatory evidence that the existing literature's descriptive foundation makes possible but does not itself deliver.</w:t>
      </w:r>
    </w:p>
    <w:p w14:paraId="414BCEF1" w14:textId="77777777" w:rsidR="00441C89" w:rsidRDefault="00441C89" w:rsidP="00441C89">
      <w:pPr>
        <w:spacing w:after="180" w:line="360" w:lineRule="auto"/>
        <w:jc w:val="both"/>
      </w:pPr>
      <w:r>
        <w:rPr>
          <w:rFonts w:ascii="Times New Roman" w:eastAsia="Times New Roman" w:hAnsi="Times New Roman" w:cs="Times New Roman"/>
          <w:sz w:val="24"/>
          <w:szCs w:val="24"/>
        </w:rPr>
        <w:t>A second theoretical contribution lies in the study's explicit integration of Garhwal's contextual specificity — its terrain-induced transaction costs, demographic pressures, and seasonal infrastructure constraints — into an analytical framework for channel performance. Agricultural supply chain theory has been developed predominantly in plains and peri-urban settings, where transport infrastructure is relatively reliable, landholdings are larger, and market access constraints are qualitatively different from those prevailing in the Garhwal Himalaya. By adapting and applying supply chain efficiency frameworks to a high-altitude, fragmented smallholder context, this study extends the theoretical reach of those frameworks and tests their explanatory power under conditions that the mainstream literature has not adequately addressed. The result is not merely a regional case study but a contribution to the broader theoretical question of how distribution channel optimization models need to be modified when applied to mountain agricultural systems.</w:t>
      </w:r>
    </w:p>
    <w:p w14:paraId="144ECB25" w14:textId="77777777" w:rsidR="00441C89" w:rsidRDefault="00441C89" w:rsidP="00441C89">
      <w:pPr>
        <w:spacing w:after="180" w:line="360" w:lineRule="auto"/>
        <w:jc w:val="both"/>
      </w:pPr>
      <w:r>
        <w:rPr>
          <w:rFonts w:ascii="Times New Roman" w:eastAsia="Times New Roman" w:hAnsi="Times New Roman" w:cs="Times New Roman"/>
          <w:sz w:val="24"/>
          <w:szCs w:val="24"/>
        </w:rPr>
        <w:t xml:space="preserve">A third and more technically specific theoretical contribution arises from the study's application of fuzzy logic methods to the assessment and management of Malta quality during distribution and storage. Quality deterioration in perishable agricultural products involves variables — temperature exposure, handling intensity, packaging integrity, humidity, transit duration — that are individually imprecise, interactively complex, and not readily captured by conventional crisp-boundary classification systems. The application of fuzzy logic to this problem in the context of hill-grown citrus is novel: while fuzzy methods have been employed in quality assessment for other agricultural commodities and in industrial logistics contexts, their adaptation to the specific quality dynamics of fresh Malta — including the altitude-related transport conditions and informal handling practices that characterize Garhwal's supply chain — represents a methodological extension that the existing literature on both fuzzy applications and citrus distribution has not previously undertaken. For researchers working on perishable agricultural supply chains in </w:t>
      </w:r>
      <w:r>
        <w:rPr>
          <w:rFonts w:ascii="Times New Roman" w:eastAsia="Times New Roman" w:hAnsi="Times New Roman" w:cs="Times New Roman"/>
          <w:sz w:val="24"/>
          <w:szCs w:val="24"/>
        </w:rPr>
        <w:lastRenderedPageBreak/>
        <w:t>comparable mountain contexts — whether in other Himalayan states, in East African highland regions, or in Andean agricultural systems — this application provides a validated methodological reference point.</w:t>
      </w:r>
    </w:p>
    <w:p w14:paraId="2DD40AE2" w14:textId="77777777" w:rsidR="00441C89" w:rsidRDefault="00441C89" w:rsidP="00441C89">
      <w:pPr>
        <w:pStyle w:val="Heading2"/>
      </w:pPr>
      <w:r>
        <w:t>1.10.2  Practical Implications</w:t>
      </w:r>
    </w:p>
    <w:p w14:paraId="3AB23BAC" w14:textId="77777777" w:rsidR="00441C89" w:rsidRDefault="00441C89" w:rsidP="00441C89">
      <w:pPr>
        <w:spacing w:after="180" w:line="360" w:lineRule="auto"/>
        <w:jc w:val="both"/>
      </w:pPr>
      <w:r>
        <w:rPr>
          <w:rFonts w:ascii="Times New Roman" w:eastAsia="Times New Roman" w:hAnsi="Times New Roman" w:cs="Times New Roman"/>
          <w:sz w:val="24"/>
          <w:szCs w:val="24"/>
        </w:rPr>
        <w:t>The study's practical significance operates across three distinct stakeholder groups, each of whom engages with Malta's distribution system from a different structural position and with different informational needs. For smallholder producers — the group whose welfare provides the study's central motivation — the most direct practical contribution is the transportation model developed in response to Objective 4 and Research Question 4. This model, calibrated to Garhwal's specific terrain, seasonal road conditions, and perishability-driven time constraints, provides producers and their organizations with a routing and timing framework that can reduce both transit losses and transportation costs. Alongside this, the fuzzy quality management framework developed under Objective 5 offers producers and farmer producer organizations (FPOs) a structured approach to pre-cooling, grading, and packaging decisions that the current system handles informally and inconsistently — a source of avoidable quality-related losses estimated at 20–25% of marketed volume. Together, these tools address the two most direct drivers of producer income erosion: physical losses during transit and price discounting at terminal markets due to quality degradation.</w:t>
      </w:r>
    </w:p>
    <w:p w14:paraId="62A7F878" w14:textId="77777777" w:rsidR="00441C89" w:rsidRDefault="00441C89" w:rsidP="00441C89">
      <w:pPr>
        <w:spacing w:after="180" w:line="360" w:lineRule="auto"/>
        <w:jc w:val="both"/>
      </w:pPr>
      <w:r>
        <w:rPr>
          <w:rFonts w:ascii="Times New Roman" w:eastAsia="Times New Roman" w:hAnsi="Times New Roman" w:cs="Times New Roman"/>
          <w:sz w:val="24"/>
          <w:szCs w:val="24"/>
        </w:rPr>
        <w:t>For intermediaries — contractors, commission agents, wholesalers, and retailers — the study's practical value lies primarily in the efficiency benchmarks and cost-margin diagnostics it generates through the analysis of Research Questions 1 and 2. These benchmarks make it possible to identify where in the chain value is being generated and where it is being destroyed, and to distinguish between intermediaries who add genuine service value and those whose margins reflect information asymmetry and producer dependence rather than productive contribution. Access to this analysis creates an incentive-compatible basis for restructuring intermediary relationships around quality protocols and standardized grading systems — improvements that benefit both traders accessing urban markets where quality standards are higher and producers whose returns are currently suppressed by the absence of those standards. The study's findings on wastage hotspots in transit and at wholesale nodes are particularly relevant to intermediaries in the Dehradun and Delhi markets, where quality differentiation increasingly determines price realization.</w:t>
      </w:r>
    </w:p>
    <w:p w14:paraId="60F3FC44" w14:textId="77777777" w:rsidR="00441C89" w:rsidRDefault="00441C89" w:rsidP="00441C89">
      <w:pPr>
        <w:spacing w:after="180" w:line="360" w:lineRule="auto"/>
        <w:jc w:val="both"/>
      </w:pPr>
      <w:r>
        <w:rPr>
          <w:rFonts w:ascii="Times New Roman" w:eastAsia="Times New Roman" w:hAnsi="Times New Roman" w:cs="Times New Roman"/>
          <w:sz w:val="24"/>
          <w:szCs w:val="24"/>
        </w:rPr>
        <w:lastRenderedPageBreak/>
        <w:t xml:space="preserve">For policymakers at the state and district levels, the study offers perhaps its most consequential practical contribution: an evidence </w:t>
      </w:r>
      <w:proofErr w:type="gramStart"/>
      <w:r>
        <w:rPr>
          <w:rFonts w:ascii="Times New Roman" w:eastAsia="Times New Roman" w:hAnsi="Times New Roman" w:cs="Times New Roman"/>
          <w:sz w:val="24"/>
          <w:szCs w:val="24"/>
        </w:rPr>
        <w:t>base</w:t>
      </w:r>
      <w:proofErr w:type="gramEnd"/>
      <w:r>
        <w:rPr>
          <w:rFonts w:ascii="Times New Roman" w:eastAsia="Times New Roman" w:hAnsi="Times New Roman" w:cs="Times New Roman"/>
          <w:sz w:val="24"/>
          <w:szCs w:val="24"/>
        </w:rPr>
        <w:t xml:space="preserve"> sufficiently specific and analytically rigorous to support targeted infrastructure and institutional investment decisions. The failure of the Malta minimum support price scheme — documented by Choudhary et al. (2015) and discussed in Sections 1.3 and 1.4 — illustrates the cost of well-intentioned policy instruments that are not grounded in a detailed understanding of where the binding constraints in the distribution system actually lie. The present study's multi-district, multi-stakeholder analysis identifies those constraints with the specificity that prior research has been unable to provide, enabling recommendations for road infrastructure prioritization, cold chain investment sequencing, FPO capacity building, and MSP mechanism redesign to be grounded in demonstrable evidence rather than general principle. These recommendations are directly relevant to the implementation of the Uttarakhand government's Malta Mission, which has committed to scaling Malta production and marketing but requires exactly the kind of distribution system analysis this study undertakes in order to direct its investments effectively.</w:t>
      </w:r>
    </w:p>
    <w:p w14:paraId="0B21B365" w14:textId="77777777" w:rsidR="00441C89" w:rsidRDefault="00441C89" w:rsidP="00441C89">
      <w:pPr>
        <w:spacing w:after="180" w:line="360" w:lineRule="auto"/>
        <w:jc w:val="both"/>
      </w:pPr>
      <w:r>
        <w:rPr>
          <w:rFonts w:ascii="Times New Roman" w:eastAsia="Times New Roman" w:hAnsi="Times New Roman" w:cs="Times New Roman"/>
          <w:sz w:val="24"/>
          <w:szCs w:val="24"/>
        </w:rPr>
        <w:t>At the broadest level, the study's significance extends to the wider policy conversation about the role of high-value horticultural crops in sustaining the agricultural economies of India's hill districts under the combined pressures of climate change, land fragmentation, and rural out-migration. Malta's situation in Garhwal is not unique: across the Himalayan belt, smallholder producers of perishable, regionally distinctive crops face structurally similar distribution challenges — terrain-constrained logistics, intermediary dependence, weak farmer organization, and inadequate post-harvest infrastructure — that limit their ability to benefit from the demonstrated productive value of their crops. The analytical framework and methodological approaches developed in this study are therefore transferable, with appropriate contextual adaptation, to comparable situations in other hill districts and other high-value perishable crops. To the extent that it advances the methodology for studying and improving agricultural distribution in mountain settings, the study contributes to a body of evidence with implications well beyond the Garhwal region and the Malta crop.</w:t>
      </w:r>
    </w:p>
    <w:p w14:paraId="323F3669" w14:textId="77777777" w:rsidR="00103348" w:rsidRDefault="00103348" w:rsidP="00103348">
      <w:pPr>
        <w:pStyle w:val="Heading1"/>
      </w:pPr>
      <w:r>
        <w:t>1.11 Organization of the Thesis</w:t>
      </w:r>
    </w:p>
    <w:p w14:paraId="3E172599" w14:textId="77777777" w:rsidR="00103348" w:rsidRDefault="00103348" w:rsidP="00103348">
      <w:pPr>
        <w:spacing w:after="180" w:line="360" w:lineRule="auto"/>
        <w:jc w:val="both"/>
      </w:pPr>
      <w:r>
        <w:rPr>
          <w:rFonts w:ascii="Times New Roman" w:eastAsia="Times New Roman" w:hAnsi="Times New Roman" w:cs="Times New Roman"/>
          <w:sz w:val="24"/>
          <w:szCs w:val="24"/>
        </w:rPr>
        <w:t xml:space="preserve">This thesis is organized into six chapters, each performing a distinct and sequentially necessary function in the overall research </w:t>
      </w:r>
      <w:proofErr w:type="spellStart"/>
      <w:r>
        <w:rPr>
          <w:rFonts w:ascii="Times New Roman" w:eastAsia="Times New Roman" w:hAnsi="Times New Roman" w:cs="Times New Roman"/>
          <w:sz w:val="24"/>
          <w:szCs w:val="24"/>
        </w:rPr>
        <w:t>programme</w:t>
      </w:r>
      <w:proofErr w:type="spellEnd"/>
      <w:r>
        <w:rPr>
          <w:rFonts w:ascii="Times New Roman" w:eastAsia="Times New Roman" w:hAnsi="Times New Roman" w:cs="Times New Roman"/>
          <w:sz w:val="24"/>
          <w:szCs w:val="24"/>
        </w:rPr>
        <w:t xml:space="preserve">. The chapters are designed not as parallel or </w:t>
      </w:r>
      <w:r>
        <w:rPr>
          <w:rFonts w:ascii="Times New Roman" w:eastAsia="Times New Roman" w:hAnsi="Times New Roman" w:cs="Times New Roman"/>
          <w:sz w:val="24"/>
          <w:szCs w:val="24"/>
        </w:rPr>
        <w:lastRenderedPageBreak/>
        <w:t>interchangeable units but as stages in a cumulative argument: the conceptual and empirical work of each chapter creates the foundation upon which the next rests. What follows is a brief account of each chapter's purpose and its contribution to the dissertation's central aim — to empirically investigate and analytically address the factors constraining distribution channel optimization for Malta (</w:t>
      </w:r>
      <w:r>
        <w:rPr>
          <w:rFonts w:ascii="Times New Roman" w:eastAsia="Times New Roman" w:hAnsi="Times New Roman" w:cs="Times New Roman"/>
          <w:i/>
          <w:iCs/>
          <w:sz w:val="24"/>
          <w:szCs w:val="24"/>
        </w:rPr>
        <w:t>Citrus sinensis</w:t>
      </w:r>
      <w:r>
        <w:rPr>
          <w:rFonts w:ascii="Times New Roman" w:eastAsia="Times New Roman" w:hAnsi="Times New Roman" w:cs="Times New Roman"/>
          <w:sz w:val="24"/>
          <w:szCs w:val="24"/>
        </w:rPr>
        <w:t>) in the Garhwal region of Uttarakhand.</w:t>
      </w:r>
    </w:p>
    <w:p w14:paraId="190A350D" w14:textId="77777777" w:rsidR="00103348" w:rsidRDefault="00103348" w:rsidP="00103348">
      <w:pPr>
        <w:spacing w:before="200" w:after="180" w:line="360" w:lineRule="auto"/>
        <w:jc w:val="both"/>
      </w:pPr>
      <w:r>
        <w:rPr>
          <w:rFonts w:ascii="Times New Roman" w:eastAsia="Times New Roman" w:hAnsi="Times New Roman" w:cs="Times New Roman"/>
          <w:b/>
          <w:bCs/>
          <w:sz w:val="24"/>
          <w:szCs w:val="24"/>
        </w:rPr>
        <w:t xml:space="preserve">Chapter One: Introduction: </w:t>
      </w:r>
      <w:r>
        <w:rPr>
          <w:rFonts w:ascii="Times New Roman" w:eastAsia="Times New Roman" w:hAnsi="Times New Roman" w:cs="Times New Roman"/>
          <w:sz w:val="24"/>
          <w:szCs w:val="24"/>
        </w:rPr>
        <w:t xml:space="preserve">The present chapter establishes the intellectual and contextual foundation for the entire study. Beginning with a broad account of India's citrus sector and narrowing progressively to the specific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-economic role of Malta in the Garhwal Himalaya, it develops a sustained argument for why the distribution and marketing system through which Malta reaches consumers is the critical constraint on the crop's realized value — for individual farmers, for hill communities, and for regional development. The chapter then identifies the research gap left by existing literature, formulates the problem with analytical precision, states the primary and specific objectives, poses the five research questions, and defines the scope and delimitations within which those questions will be answered. It closes by articulating the study's theoretical and practical contributions. In doing so, Chapter One does not merely introduce the study but argues for its necessity — a distinction that shapes the intellectual character of every chapter that follows.</w:t>
      </w:r>
    </w:p>
    <w:p w14:paraId="37A1FEBA" w14:textId="77777777" w:rsidR="00103348" w:rsidRDefault="00103348" w:rsidP="00103348">
      <w:pPr>
        <w:spacing w:before="200" w:after="180" w:line="360" w:lineRule="auto"/>
        <w:jc w:val="both"/>
      </w:pPr>
      <w:r>
        <w:rPr>
          <w:rFonts w:ascii="Times New Roman" w:eastAsia="Times New Roman" w:hAnsi="Times New Roman" w:cs="Times New Roman"/>
          <w:b/>
          <w:bCs/>
          <w:sz w:val="24"/>
          <w:szCs w:val="24"/>
        </w:rPr>
        <w:t xml:space="preserve">Chapter Two: Review of Literature: </w:t>
      </w:r>
      <w:r>
        <w:rPr>
          <w:rFonts w:ascii="Times New Roman" w:eastAsia="Times New Roman" w:hAnsi="Times New Roman" w:cs="Times New Roman"/>
          <w:sz w:val="24"/>
          <w:szCs w:val="24"/>
        </w:rPr>
        <w:t xml:space="preserve">Chapter Two situates the present study within the broader academic conversation on agricultural distribution channels, supply chain efficiency, and perishable commodity marketing. It begins with the theoretical foundations of distribution channel analysis — definitions, typologies, and optimization frameworks from supply chain management theory — before reviewing the empirical literature on citrus production and marketing in India and comparable international contexts. The chapter then systematically examines the bodies of work on the factors influencing channel selection and performance, including producer-level, product-related, infrastructural, economic, institutional, and technological determinants. It surveys regional studies on agricultural distribution in hill and mountain contexts, reviews evidence on government policy interventions and their outcomes, and assesses the specific literature on Malta marketing in Uttarakhand with reference to the studies that Chapter One identifies as foundational but analytically limited. The chapter concludes by synthesizing the literature into a theoretical framework — a conceptual model that identifies the key variables and hypothesized relationships to be examined empirically — and by formally specifying the research gaps that the present study </w:t>
      </w:r>
      <w:r>
        <w:rPr>
          <w:rFonts w:ascii="Times New Roman" w:eastAsia="Times New Roman" w:hAnsi="Times New Roman" w:cs="Times New Roman"/>
          <w:sz w:val="24"/>
          <w:szCs w:val="24"/>
        </w:rPr>
        <w:lastRenderedPageBreak/>
        <w:t>is positioned to address. Where Chapter One makes the case for the study's necessity in developmental terms, Chapter Two makes the case for its necessity in scholarly terms.</w:t>
      </w:r>
    </w:p>
    <w:p w14:paraId="5CB5F897" w14:textId="77777777" w:rsidR="00103348" w:rsidRDefault="00103348" w:rsidP="00103348">
      <w:pPr>
        <w:spacing w:before="200" w:after="180" w:line="360" w:lineRule="auto"/>
        <w:jc w:val="both"/>
      </w:pPr>
      <w:r>
        <w:rPr>
          <w:rFonts w:ascii="Times New Roman" w:eastAsia="Times New Roman" w:hAnsi="Times New Roman" w:cs="Times New Roman"/>
          <w:b/>
          <w:bCs/>
          <w:sz w:val="24"/>
          <w:szCs w:val="24"/>
        </w:rPr>
        <w:t xml:space="preserve">Chapter Three: Research Methodology: </w:t>
      </w:r>
      <w:r>
        <w:rPr>
          <w:rFonts w:ascii="Times New Roman" w:eastAsia="Times New Roman" w:hAnsi="Times New Roman" w:cs="Times New Roman"/>
          <w:sz w:val="24"/>
          <w:szCs w:val="24"/>
        </w:rPr>
        <w:t xml:space="preserve">Chapter Three provides a complete and justified account of the research design, sampling strategy, data collection procedures, and analytical methods employed to answer the five research questions. It opens by describing the study area — the geography, demography, agricultural profile, and marketing infrastructure of the Garhwal districts in which fieldwork was conducted — and then explains and justifies the multi-stage stratified sampling design used to select farmer, trader, wholesaler, and retailer respondents across these districts. The chapter details the primary data collection instruments (structured questionnaires and stakeholder interview schedules), the secondary sources drawn upon, and the pilot testing procedures used to validate the instruments before full-scale deployment. It then presents the analytical framework in full: the statistical techniques used to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channel structure and factor relationships (including descriptive statistics, factor analysis, regression, and logit modelling), the economic efficiency metrics applied to compare channel performance (price spread analysis, producer share calculations, and marketing efficiency indices), and the advanced modelling approaches used to respond to the applied research questions — specifically, the transportation optimization model developed for Research Question 4 and the fuzzy logic framework developed for Research Question 5. The chapter also addresses the reliability and validity of the measurement instruments, the ethical considerations governing fieldwork, and the methodological limitations that readers should bear in mind when interpreting the results. Chapter Three is the methodological guarantee of the study's findings: it establishes that the claims made in subsequent chapters rest on rigorous, transparent, and appropriately justified procedures.</w:t>
      </w:r>
    </w:p>
    <w:p w14:paraId="4C0E9C96" w14:textId="77777777" w:rsidR="00103348" w:rsidRDefault="00103348" w:rsidP="00103348">
      <w:pPr>
        <w:spacing w:before="200" w:after="180" w:line="360" w:lineRule="auto"/>
        <w:jc w:val="both"/>
      </w:pPr>
      <w:r>
        <w:rPr>
          <w:rFonts w:ascii="Times New Roman" w:eastAsia="Times New Roman" w:hAnsi="Times New Roman" w:cs="Times New Roman"/>
          <w:b/>
          <w:bCs/>
          <w:sz w:val="24"/>
          <w:szCs w:val="24"/>
        </w:rPr>
        <w:t xml:space="preserve">Chapter Four: Results and Analysis: </w:t>
      </w:r>
      <w:r>
        <w:rPr>
          <w:rFonts w:ascii="Times New Roman" w:eastAsia="Times New Roman" w:hAnsi="Times New Roman" w:cs="Times New Roman"/>
          <w:sz w:val="24"/>
          <w:szCs w:val="24"/>
        </w:rPr>
        <w:t xml:space="preserve">Chapter Four presents the empirical findings of the study, organized in four logical parts that correspond to the diagnostic and applied dimensions of the research questions. Part A characterizes the socio-economic profile of Malta growers and the cultivated area characteristics across the surveyed districts, establishing the descriptive baseline against which all subsequent analysis is interpreted. Part B forms the analytical core of the chapter, presenting the results of factor analysis, regression, and logit modelling to identify and quantify the infrastructural, institutional, informational, and organizational determinants of distribution channel efficiency — directly addressing Research Questions 1 and 3. Part C presents the channel </w:t>
      </w:r>
      <w:r>
        <w:rPr>
          <w:rFonts w:ascii="Times New Roman" w:eastAsia="Times New Roman" w:hAnsi="Times New Roman" w:cs="Times New Roman"/>
          <w:sz w:val="24"/>
          <w:szCs w:val="24"/>
        </w:rPr>
        <w:lastRenderedPageBreak/>
        <w:t>performance results: marketing cost breakdowns, margin analyses, price spread comparisons, producer shares across channel types, and post-harvest loss quantifications across the supply chain, addressing Research Question 2. Part D presents the results of the two applied analytical models — the transportation optimization model and the fuzzy quality management framework — addressing Research Questions 4 and 5 respectively. The chapter does not interpret or discuss these findings in depth; its role is to present them accurately, completely, and with sufficient statistical transparency to allow the reader to form an independent view of their reliability before the interpretation that follows.</w:t>
      </w:r>
    </w:p>
    <w:p w14:paraId="6799F743" w14:textId="77777777" w:rsidR="00103348" w:rsidRDefault="00103348" w:rsidP="00103348">
      <w:pPr>
        <w:spacing w:before="200" w:after="180" w:line="360" w:lineRule="auto"/>
        <w:jc w:val="both"/>
      </w:pPr>
      <w:r>
        <w:rPr>
          <w:rFonts w:ascii="Times New Roman" w:eastAsia="Times New Roman" w:hAnsi="Times New Roman" w:cs="Times New Roman"/>
          <w:b/>
          <w:bCs/>
          <w:sz w:val="24"/>
          <w:szCs w:val="24"/>
        </w:rPr>
        <w:t xml:space="preserve">Chapter Five: Discussion: </w:t>
      </w:r>
      <w:r>
        <w:rPr>
          <w:rFonts w:ascii="Times New Roman" w:eastAsia="Times New Roman" w:hAnsi="Times New Roman" w:cs="Times New Roman"/>
          <w:sz w:val="24"/>
          <w:szCs w:val="24"/>
        </w:rPr>
        <w:t xml:space="preserve">Chapter Five interprets the findings presented in Chapter Four by placing them in conversation with the theoretical framework developed in Chapter Two and the contextual understanding established in Chapter One. It does not simply reiterate the results but asks what they mean — in relation to existing theory, in the specific context of Garhwal's </w:t>
      </w:r>
      <w:proofErr w:type="spellStart"/>
      <w:r>
        <w:rPr>
          <w:rFonts w:ascii="Times New Roman" w:eastAsia="Times New Roman" w:hAnsi="Times New Roman" w:cs="Times New Roman"/>
          <w:sz w:val="24"/>
          <w:szCs w:val="24"/>
        </w:rPr>
        <w:t>agro</w:t>
      </w:r>
      <w:proofErr w:type="spellEnd"/>
      <w:r>
        <w:rPr>
          <w:rFonts w:ascii="Times New Roman" w:eastAsia="Times New Roman" w:hAnsi="Times New Roman" w:cs="Times New Roman"/>
          <w:sz w:val="24"/>
          <w:szCs w:val="24"/>
        </w:rPr>
        <w:t>-economic conditions, and in terms of what they imply for the broader understanding of agricultural distribution in mountain settings. The chapter discusses the dominant distribution channels and the structural reasons for their persistence, critically analyses the identified factors across producer, infrastructure, economic, institutional, and technological dimensions, and examines the channel performance findings in light of comparable evidence from other regions. It pays particular attention to findings that diverge from or qualify the existing literature, treating these unexpected results as opportunities for theoretical refinement rather than anomalies to be explained away. The chapter also reflects on the transportation model and fuzzy framework results, discussing their applicability under real operating conditions and the assumptions on which their outputs depend. It closes with a synthesis of the study's theoretical contributions and a discussion of its policy implications — providing the conceptual bridge between what the study found and what it recommends.</w:t>
      </w:r>
    </w:p>
    <w:p w14:paraId="18AFBE34" w14:textId="77777777" w:rsidR="00103348" w:rsidRDefault="00103348" w:rsidP="00103348">
      <w:pPr>
        <w:spacing w:before="200" w:after="180" w:line="360" w:lineRule="auto"/>
        <w:jc w:val="both"/>
      </w:pPr>
      <w:r>
        <w:rPr>
          <w:rFonts w:ascii="Times New Roman" w:eastAsia="Times New Roman" w:hAnsi="Times New Roman" w:cs="Times New Roman"/>
          <w:b/>
          <w:bCs/>
          <w:sz w:val="24"/>
          <w:szCs w:val="24"/>
        </w:rPr>
        <w:t xml:space="preserve">Chapter Six: Conclusions and Recommendations: </w:t>
      </w:r>
      <w:r>
        <w:rPr>
          <w:rFonts w:ascii="Times New Roman" w:eastAsia="Times New Roman" w:hAnsi="Times New Roman" w:cs="Times New Roman"/>
          <w:sz w:val="24"/>
          <w:szCs w:val="24"/>
        </w:rPr>
        <w:t xml:space="preserve">The final chapter brings the dissertation's argument to its conclusion by drawing together the study's major findings, stating the conclusions that can responsibly be drawn from them, and translating those conclusions into actionable recommendations for the study's three primary stakeholder audiences. For farmers and producer organizations, the chapter outlines channel selection strategies, collective marketing approaches, and quality management practices that the evidence supports. For intermediaries, it identifies </w:t>
      </w:r>
      <w:r>
        <w:rPr>
          <w:rFonts w:ascii="Times New Roman" w:eastAsia="Times New Roman" w:hAnsi="Times New Roman" w:cs="Times New Roman"/>
          <w:sz w:val="24"/>
          <w:szCs w:val="24"/>
        </w:rPr>
        <w:lastRenderedPageBreak/>
        <w:t>opportunities for efficiency improvement and the conditions under which shared value creation — rather than margin appropriation — is achievable. For policymakers and government agencies, it provides targeted recommendations for infrastructure prioritization, institutional reform, MSP mechanism redesign, and alignment with the Uttarakhand Malta Mission, grounded explicitly in the district-level evidence the study has generated. The chapter then presents a broader optimization and policy framework, distinguishing between interventions that can be implemented in the short term and those that require sustained long-term investment and institutional development. It closes by acknowledging the limitations of the study with the same transparency that characterizes Chapter Three, and by identifying the directions for future research that the present study makes possible — including longitudinal follow-up studies, comparative analysis across divisions and crops, and investigation of the role of digital platforms and climate change adaptation in Malta distribution. The final remarks situate the study's contribution within the ongoing effort to build evidence-based, contextually grounded policy for the agricultural economies of India's hill regions.</w:t>
      </w:r>
    </w:p>
    <w:p w14:paraId="292083D8" w14:textId="77777777" w:rsidR="00103348" w:rsidRDefault="00103348" w:rsidP="00103348">
      <w:pPr>
        <w:spacing w:after="180" w:line="360" w:lineRule="auto"/>
        <w:jc w:val="both"/>
      </w:pPr>
      <w:r>
        <w:rPr>
          <w:rFonts w:ascii="Times New Roman" w:eastAsia="Times New Roman" w:hAnsi="Times New Roman" w:cs="Times New Roman"/>
          <w:sz w:val="24"/>
          <w:szCs w:val="24"/>
        </w:rPr>
        <w:t>Following Chapter Six, the thesis includes a consolidated reference list compiled in APA 7th edition format, covering all sources cited across the six chapters. A series of appendices provides supporting material that would interrupt the flow of the main text if included within the chapters themselves: the survey questionnaire administered to Malta farmers, the interview schedules designed for trader, wholesaler, and retailer respondents, the list of villages and market locations surveyed, supplementary statistical tables, sample efficiency calculations, and field photographs documenting the distribution conditions observed during primary data collection. Maps of the study area in the Garhwal region are also included to assist readers in visualizing the geographical context within which the study's findings are grounded.</w:t>
      </w:r>
    </w:p>
    <w:p w14:paraId="21633C96" w14:textId="5D122A99" w:rsidR="00441C89" w:rsidRDefault="00103348" w:rsidP="00D05627">
      <w:pPr>
        <w:spacing w:after="180" w:line="360" w:lineRule="auto"/>
        <w:jc w:val="both"/>
      </w:pPr>
      <w:r>
        <w:rPr>
          <w:rFonts w:ascii="Times New Roman" w:eastAsia="Times New Roman" w:hAnsi="Times New Roman" w:cs="Times New Roman"/>
          <w:sz w:val="24"/>
          <w:szCs w:val="24"/>
        </w:rPr>
        <w:t>Taken together, the six chapters trace a single argument from its origins in the productive potential and marketing constraints of Garhwal's Malta sector, through the analytical work of identifying, measuring, and modelling the factors that sustain those constraints, to the practical recommendations that the evidence makes possible. The organization of the thesis is, in this sense, not a neutral administrative structure but a deliberate intellectual design — one in which each chapter earns its place by doing something the others cannot, and all six together constitute a contribution that none could make individually.</w:t>
      </w:r>
    </w:p>
    <w:sectPr w:rsidR="00441C89" w:rsidSect="00F566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CF8"/>
    <w:rsid w:val="00103348"/>
    <w:rsid w:val="002658C0"/>
    <w:rsid w:val="002A10F7"/>
    <w:rsid w:val="003D1828"/>
    <w:rsid w:val="00441C89"/>
    <w:rsid w:val="00473085"/>
    <w:rsid w:val="007101A9"/>
    <w:rsid w:val="009353F6"/>
    <w:rsid w:val="009E725D"/>
    <w:rsid w:val="00B24694"/>
    <w:rsid w:val="00C84B2B"/>
    <w:rsid w:val="00C94409"/>
    <w:rsid w:val="00D05627"/>
    <w:rsid w:val="00E04CF8"/>
    <w:rsid w:val="00E72D91"/>
    <w:rsid w:val="00EB4C95"/>
    <w:rsid w:val="00F56664"/>
    <w:rsid w:val="00F72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45CF"/>
  <w15:docId w15:val="{63A81983-0D48-48F3-AE62-681F0BA21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F56664"/>
    <w:pPr>
      <w:spacing w:before="360" w:after="160" w:line="240" w:lineRule="auto"/>
      <w:outlineLvl w:val="0"/>
    </w:pPr>
    <w:rPr>
      <w:rFonts w:ascii="Times New Roman" w:eastAsia="Times New Roman" w:hAnsi="Times New Roman" w:cs="Times New Roman"/>
      <w:b/>
      <w:bCs/>
      <w:color w:val="000000"/>
      <w:sz w:val="28"/>
      <w:szCs w:val="28"/>
      <w:lang w:val="en-IN" w:eastAsia="en-GB"/>
    </w:rPr>
  </w:style>
  <w:style w:type="paragraph" w:styleId="Heading2">
    <w:name w:val="heading 2"/>
    <w:link w:val="Heading2Char"/>
    <w:uiPriority w:val="9"/>
    <w:unhideWhenUsed/>
    <w:qFormat/>
    <w:rsid w:val="00F56664"/>
    <w:pPr>
      <w:spacing w:before="280" w:line="240" w:lineRule="auto"/>
      <w:outlineLvl w:val="1"/>
    </w:pPr>
    <w:rPr>
      <w:rFonts w:ascii="Times New Roman" w:eastAsia="Times New Roman" w:hAnsi="Times New Roman" w:cs="Times New Roman"/>
      <w:b/>
      <w:bCs/>
      <w:color w:val="000000"/>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F56664"/>
    <w:rPr>
      <w:rFonts w:ascii="Times New Roman" w:eastAsia="Times New Roman" w:hAnsi="Times New Roman" w:cs="Times New Roman"/>
      <w:b/>
      <w:bCs/>
      <w:color w:val="000000"/>
      <w:sz w:val="28"/>
      <w:szCs w:val="28"/>
      <w:lang w:val="en-IN" w:eastAsia="en-GB"/>
    </w:rPr>
  </w:style>
  <w:style w:type="character" w:customStyle="1" w:styleId="Heading2Char">
    <w:name w:val="Heading 2 Char"/>
    <w:basedOn w:val="DefaultParagraphFont"/>
    <w:link w:val="Heading2"/>
    <w:uiPriority w:val="9"/>
    <w:rsid w:val="00F56664"/>
    <w:rPr>
      <w:rFonts w:ascii="Times New Roman" w:eastAsia="Times New Roman" w:hAnsi="Times New Roman" w:cs="Times New Roman"/>
      <w:b/>
      <w:bCs/>
      <w:color w:val="000000"/>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2228</TotalTime>
  <Pages>34</Pages>
  <Words>12834</Words>
  <Characters>73160</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Mohit Gundwal</cp:lastModifiedBy>
  <cp:revision>14</cp:revision>
  <dcterms:created xsi:type="dcterms:W3CDTF">2025-08-24T12:23:00Z</dcterms:created>
  <dcterms:modified xsi:type="dcterms:W3CDTF">2026-02-16T07:03:00Z</dcterms:modified>
</cp:coreProperties>
</file>