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287D" w14:textId="0EBB9C94" w:rsidR="00523471" w:rsidRDefault="00523471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4</w:t>
      </w:r>
      <w:r>
        <w:rPr>
          <w:rFonts w:ascii="宋体" w:eastAsia="宋体" w:hAnsi="宋体"/>
          <w:b/>
          <w:bCs/>
        </w:rPr>
        <w:t>.1</w:t>
      </w:r>
      <w:r>
        <w:rPr>
          <w:rFonts w:ascii="宋体" w:eastAsia="宋体" w:hAnsi="宋体" w:hint="eastAsia"/>
          <w:b/>
          <w:bCs/>
        </w:rPr>
        <w:t>放牧策略对土壤化学性质影响的数学模型的建立</w:t>
      </w:r>
    </w:p>
    <w:p w14:paraId="4E729FD3" w14:textId="5F48E6AC" w:rsidR="00523471" w:rsidRDefault="00523471">
      <w:pPr>
        <w:rPr>
          <w:rFonts w:ascii="宋体" w:eastAsia="宋体" w:hAnsi="宋体"/>
        </w:rPr>
      </w:pPr>
      <w:r w:rsidRPr="00523471">
        <w:rPr>
          <w:rFonts w:ascii="宋体" w:eastAsia="宋体" w:hAnsi="宋体" w:hint="eastAsia"/>
        </w:rPr>
        <w:t>4</w:t>
      </w:r>
      <w:r w:rsidRPr="00523471">
        <w:rPr>
          <w:rFonts w:ascii="宋体" w:eastAsia="宋体" w:hAnsi="宋体"/>
        </w:rPr>
        <w:t>.1.1</w:t>
      </w:r>
      <w:r>
        <w:rPr>
          <w:rFonts w:ascii="宋体" w:eastAsia="宋体" w:hAnsi="宋体" w:hint="eastAsia"/>
        </w:rPr>
        <w:t>土壤化学性质</w:t>
      </w:r>
    </w:p>
    <w:p w14:paraId="0AC64CBF" w14:textId="77777777" w:rsidR="00523471" w:rsidRPr="00523471" w:rsidRDefault="00523471">
      <w:pPr>
        <w:rPr>
          <w:rFonts w:ascii="宋体" w:eastAsia="宋体" w:hAnsi="宋体" w:hint="eastAsia"/>
        </w:rPr>
      </w:pPr>
    </w:p>
    <w:p w14:paraId="1F3A1FBA" w14:textId="5FD206E2" w:rsidR="00F350D0" w:rsidRPr="00622667" w:rsidRDefault="00622667">
      <w:pPr>
        <w:rPr>
          <w:rFonts w:ascii="宋体" w:eastAsia="宋体" w:hAnsi="宋体"/>
          <w:b/>
          <w:bCs/>
        </w:rPr>
      </w:pPr>
      <w:r w:rsidRPr="00622667">
        <w:rPr>
          <w:rFonts w:ascii="宋体" w:eastAsia="宋体" w:hAnsi="宋体" w:hint="eastAsia"/>
          <w:b/>
          <w:bCs/>
        </w:rPr>
        <w:t>4</w:t>
      </w:r>
      <w:r w:rsidRPr="00622667">
        <w:rPr>
          <w:rFonts w:ascii="宋体" w:eastAsia="宋体" w:hAnsi="宋体"/>
          <w:b/>
          <w:bCs/>
        </w:rPr>
        <w:t>.2</w:t>
      </w:r>
      <w:r w:rsidRPr="00622667">
        <w:rPr>
          <w:rFonts w:ascii="宋体" w:eastAsia="宋体" w:hAnsi="宋体" w:hint="eastAsia"/>
          <w:b/>
          <w:bCs/>
        </w:rPr>
        <w:t>预测</w:t>
      </w:r>
      <w:r w:rsidRPr="00622667">
        <w:rPr>
          <w:rFonts w:ascii="宋体" w:eastAsia="宋体" w:hAnsi="宋体"/>
          <w:b/>
          <w:bCs/>
        </w:rPr>
        <w:t>2022年土壤</w:t>
      </w:r>
      <w:r w:rsidR="00523471">
        <w:rPr>
          <w:rFonts w:ascii="宋体" w:eastAsia="宋体" w:hAnsi="宋体" w:hint="eastAsia"/>
          <w:b/>
          <w:bCs/>
        </w:rPr>
        <w:t>的五个化学性质</w:t>
      </w:r>
    </w:p>
    <w:p w14:paraId="04240F16" w14:textId="72EFB57B" w:rsidR="00622667" w:rsidRDefault="006A528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.2.1</w:t>
      </w:r>
      <w:r w:rsidR="00523471">
        <w:rPr>
          <w:rFonts w:ascii="宋体" w:eastAsia="宋体" w:hAnsi="宋体" w:hint="eastAsia"/>
        </w:rPr>
        <w:t>预测量分析</w:t>
      </w:r>
      <w:r w:rsidR="00523471">
        <w:rPr>
          <w:rFonts w:ascii="宋体" w:eastAsia="宋体" w:hAnsi="宋体"/>
        </w:rPr>
        <w:t xml:space="preserve"> </w:t>
      </w:r>
    </w:p>
    <w:p w14:paraId="1578C06B" w14:textId="4F5200C8" w:rsidR="006A528C" w:rsidRDefault="006A528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本题中要求预测的化学性质包括5个变量：</w:t>
      </w:r>
      <w:r w:rsidRPr="006A528C">
        <w:rPr>
          <w:rFonts w:ascii="宋体" w:eastAsia="宋体" w:hAnsi="宋体"/>
        </w:rPr>
        <w:t>SOC土壤有机碳</w:t>
      </w:r>
      <w:r>
        <w:rPr>
          <w:rFonts w:ascii="宋体" w:eastAsia="宋体" w:hAnsi="宋体" w:hint="eastAsia"/>
        </w:rPr>
        <w:t>、</w:t>
      </w:r>
      <w:r w:rsidRPr="006A528C">
        <w:rPr>
          <w:rFonts w:ascii="宋体" w:eastAsia="宋体" w:hAnsi="宋体"/>
        </w:rPr>
        <w:t>SIC土壤无机碳</w:t>
      </w:r>
      <w:r>
        <w:rPr>
          <w:rFonts w:ascii="宋体" w:eastAsia="宋体" w:hAnsi="宋体" w:hint="eastAsia"/>
        </w:rPr>
        <w:t>、</w:t>
      </w:r>
      <w:r w:rsidRPr="006A528C">
        <w:rPr>
          <w:rFonts w:ascii="宋体" w:eastAsia="宋体" w:hAnsi="宋体"/>
        </w:rPr>
        <w:t>STC土壤全碳</w:t>
      </w:r>
      <w:r>
        <w:rPr>
          <w:rFonts w:ascii="宋体" w:eastAsia="宋体" w:hAnsi="宋体" w:hint="eastAsia"/>
        </w:rPr>
        <w:t>、</w:t>
      </w:r>
      <w:r w:rsidRPr="006A528C">
        <w:rPr>
          <w:rFonts w:ascii="宋体" w:eastAsia="宋体" w:hAnsi="宋体" w:hint="eastAsia"/>
        </w:rPr>
        <w:t>全氮</w:t>
      </w:r>
      <w:r w:rsidRPr="006A528C"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、</w:t>
      </w:r>
      <w:r w:rsidRPr="006A528C">
        <w:rPr>
          <w:rFonts w:ascii="宋体" w:eastAsia="宋体" w:hAnsi="宋体" w:hint="eastAsia"/>
        </w:rPr>
        <w:t>土壤</w:t>
      </w:r>
      <w:r w:rsidRPr="006A528C">
        <w:rPr>
          <w:rFonts w:ascii="宋体" w:eastAsia="宋体" w:hAnsi="宋体"/>
        </w:rPr>
        <w:t>C/N比</w:t>
      </w:r>
      <w:r>
        <w:rPr>
          <w:rFonts w:ascii="宋体" w:eastAsia="宋体" w:hAnsi="宋体" w:hint="eastAsia"/>
        </w:rPr>
        <w:t>，它们之间具备关系如式</w:t>
      </w:r>
      <w:r w:rsidR="00E62C69">
        <w:rPr>
          <w:rFonts w:ascii="宋体" w:eastAsia="宋体" w:hAnsi="宋体" w:hint="eastAsia"/>
        </w:rPr>
        <w:t>[</w:t>
      </w:r>
      <w:r w:rsidR="00E62C69">
        <w:rPr>
          <w:rFonts w:ascii="宋体" w:eastAsia="宋体" w:hAnsi="宋体"/>
        </w:rPr>
        <w:t>]</w:t>
      </w:r>
    </w:p>
    <w:p w14:paraId="40DD6EA1" w14:textId="14F8FFFE" w:rsidR="006A528C" w:rsidRDefault="006A528C">
      <w:pPr>
        <w:rPr>
          <w:rFonts w:ascii="宋体" w:eastAsia="宋体" w:hAnsi="宋体"/>
        </w:rPr>
      </w:pPr>
      <w:r w:rsidRPr="006A528C">
        <w:rPr>
          <w:rFonts w:ascii="宋体" w:eastAsia="宋体" w:hAnsi="宋体"/>
          <w:position w:val="-28"/>
        </w:rPr>
        <w:object w:dxaOrig="1800" w:dyaOrig="680" w14:anchorId="760820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33.85pt" o:ole="">
            <v:imagedata r:id="rId6" o:title=""/>
          </v:shape>
          <o:OLEObject Type="Embed" ProgID="Equation.DSMT4" ShapeID="_x0000_i1025" DrawAspect="Content" ObjectID="_1726843046" r:id="rId7"/>
        </w:object>
      </w:r>
    </w:p>
    <w:p w14:paraId="5D2E0B15" w14:textId="6B97A796" w:rsidR="000123AB" w:rsidRDefault="00D9195C" w:rsidP="00DD75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在进行碳氮检测数据集制作时，</w:t>
      </w:r>
      <w:r w:rsidRPr="00E62C69">
        <w:rPr>
          <w:rFonts w:ascii="宋体" w:eastAsia="宋体" w:hAnsi="宋体" w:hint="eastAsia"/>
        </w:rPr>
        <w:t>测定</w:t>
      </w:r>
      <w:r w:rsidR="00E62C69" w:rsidRPr="00E62C69">
        <w:rPr>
          <w:rFonts w:ascii="宋体" w:eastAsia="宋体" w:hAnsi="宋体" w:hint="eastAsia"/>
        </w:rPr>
        <w:t>方法如下</w:t>
      </w:r>
      <w:r w:rsidRPr="00E62C69">
        <w:rPr>
          <w:rFonts w:ascii="宋体" w:eastAsia="宋体" w:hAnsi="宋体" w:hint="eastAsia"/>
        </w:rPr>
        <w:t>：土壤有机碳含量的测定采用重铬酸钾容量法</w:t>
      </w:r>
      <w:proofErr w:type="gramStart"/>
      <w:r w:rsidRPr="00E62C69">
        <w:rPr>
          <w:rFonts w:ascii="宋体" w:eastAsia="宋体" w:hAnsi="宋体" w:hint="eastAsia"/>
        </w:rPr>
        <w:t>一</w:t>
      </w:r>
      <w:proofErr w:type="gramEnd"/>
      <w:r w:rsidRPr="00E62C69">
        <w:rPr>
          <w:rFonts w:ascii="宋体" w:eastAsia="宋体" w:hAnsi="宋体" w:hint="eastAsia"/>
        </w:rPr>
        <w:t>外加热法；无机</w:t>
      </w:r>
      <w:proofErr w:type="gramStart"/>
      <w:r w:rsidRPr="00E62C69">
        <w:rPr>
          <w:rFonts w:ascii="宋体" w:eastAsia="宋体" w:hAnsi="宋体" w:hint="eastAsia"/>
        </w:rPr>
        <w:t>碳选择</w:t>
      </w:r>
      <w:proofErr w:type="gramEnd"/>
      <w:r w:rsidRPr="00E62C69">
        <w:rPr>
          <w:rFonts w:ascii="宋体" w:eastAsia="宋体" w:hAnsi="宋体" w:hint="eastAsia"/>
        </w:rPr>
        <w:t>干烧法；土壤全氮含量的测定方法为半微量凯氏定氮法</w:t>
      </w:r>
      <w:r w:rsidR="00E62C69">
        <w:rPr>
          <w:rFonts w:ascii="宋体" w:eastAsia="宋体" w:hAnsi="宋体" w:hint="eastAsia"/>
        </w:rPr>
        <w:t>。可知土壤全</w:t>
      </w:r>
      <w:proofErr w:type="gramStart"/>
      <w:r w:rsidR="00E62C69">
        <w:rPr>
          <w:rFonts w:ascii="宋体" w:eastAsia="宋体" w:hAnsi="宋体" w:hint="eastAsia"/>
        </w:rPr>
        <w:t>碳以及</w:t>
      </w:r>
      <w:proofErr w:type="gramEnd"/>
      <w:r w:rsidR="00E62C69">
        <w:rPr>
          <w:rFonts w:ascii="宋体" w:eastAsia="宋体" w:hAnsi="宋体" w:hint="eastAsia"/>
        </w:rPr>
        <w:t>土壤C/N比不是通过测定得出，二是通过式[</w:t>
      </w:r>
      <w:r w:rsidR="00E62C69">
        <w:rPr>
          <w:rFonts w:ascii="宋体" w:eastAsia="宋体" w:hAnsi="宋体"/>
        </w:rPr>
        <w:t>]</w:t>
      </w:r>
      <w:r w:rsidR="00E62C69">
        <w:rPr>
          <w:rFonts w:ascii="宋体" w:eastAsia="宋体" w:hAnsi="宋体" w:hint="eastAsia"/>
        </w:rPr>
        <w:t>计算得来。</w:t>
      </w:r>
      <w:r w:rsidR="006A528C">
        <w:rPr>
          <w:rFonts w:ascii="宋体" w:eastAsia="宋体" w:hAnsi="宋体" w:hint="eastAsia"/>
        </w:rPr>
        <w:t>因此，实际只需要</w:t>
      </w:r>
      <w:r>
        <w:rPr>
          <w:rFonts w:ascii="宋体" w:eastAsia="宋体" w:hAnsi="宋体" w:hint="eastAsia"/>
        </w:rPr>
        <w:t>预测</w:t>
      </w:r>
      <w:r w:rsidR="006A528C">
        <w:rPr>
          <w:rFonts w:ascii="宋体" w:eastAsia="宋体" w:hAnsi="宋体" w:hint="eastAsia"/>
        </w:rPr>
        <w:t>三个</w:t>
      </w:r>
      <w:r>
        <w:rPr>
          <w:rFonts w:ascii="宋体" w:eastAsia="宋体" w:hAnsi="宋体" w:hint="eastAsia"/>
        </w:rPr>
        <w:t>量：</w:t>
      </w:r>
      <w:r w:rsidRPr="006A528C">
        <w:rPr>
          <w:rFonts w:ascii="宋体" w:eastAsia="宋体" w:hAnsi="宋体"/>
        </w:rPr>
        <w:t>SOC</w:t>
      </w:r>
      <w:r>
        <w:rPr>
          <w:rFonts w:ascii="宋体" w:eastAsia="宋体" w:hAnsi="宋体" w:hint="eastAsia"/>
        </w:rPr>
        <w:t>、</w:t>
      </w:r>
      <w:r w:rsidRPr="006A528C">
        <w:rPr>
          <w:rFonts w:ascii="宋体" w:eastAsia="宋体" w:hAnsi="宋体"/>
        </w:rPr>
        <w:t>SIC</w:t>
      </w:r>
      <w:r>
        <w:rPr>
          <w:rFonts w:ascii="宋体" w:eastAsia="宋体" w:hAnsi="宋体" w:hint="eastAsia"/>
        </w:rPr>
        <w:t>、</w:t>
      </w:r>
      <w:r w:rsidRPr="006A528C"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，其余两个</w:t>
      </w:r>
      <w:proofErr w:type="gramStart"/>
      <w:r>
        <w:rPr>
          <w:rFonts w:ascii="宋体" w:eastAsia="宋体" w:hAnsi="宋体" w:hint="eastAsia"/>
        </w:rPr>
        <w:t>量通过</w:t>
      </w:r>
      <w:proofErr w:type="gramEnd"/>
      <w:r>
        <w:rPr>
          <w:rFonts w:ascii="宋体" w:eastAsia="宋体" w:hAnsi="宋体" w:hint="eastAsia"/>
        </w:rPr>
        <w:t>关系式可以计算得到。</w:t>
      </w:r>
    </w:p>
    <w:p w14:paraId="294861CE" w14:textId="638B1109" w:rsidR="00DD759F" w:rsidRDefault="00DD759F" w:rsidP="00DD75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.2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土壤化学性质数据处理</w:t>
      </w:r>
    </w:p>
    <w:p w14:paraId="69196E58" w14:textId="0EA804EA" w:rsidR="00DD759F" w:rsidRDefault="00DD759F" w:rsidP="00DD75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附件1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中对各放牧小区的土壤化学性质参数进行了测量，通过对数据集的观察发现，采样实验隔年进行，采样时会在同一时间进行多次采样，如2</w:t>
      </w:r>
      <w:r>
        <w:rPr>
          <w:rFonts w:ascii="宋体" w:eastAsia="宋体" w:hAnsi="宋体"/>
        </w:rPr>
        <w:t>018</w:t>
      </w:r>
      <w:r>
        <w:rPr>
          <w:rFonts w:ascii="宋体" w:eastAsia="宋体" w:hAnsi="宋体" w:hint="eastAsia"/>
        </w:rPr>
        <w:t>年进行了三次采样。因此，首先需要对各年年内的数据求平均</w:t>
      </w:r>
      <w:r w:rsidR="006641A1">
        <w:rPr>
          <w:rFonts w:ascii="宋体" w:eastAsia="宋体" w:hAnsi="宋体" w:hint="eastAsia"/>
        </w:rPr>
        <w:t>。</w:t>
      </w:r>
    </w:p>
    <w:p w14:paraId="5ED149DE" w14:textId="374199DC" w:rsidR="006641A1" w:rsidRDefault="006641A1" w:rsidP="00DD759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观察各列数据，通过式[</w:t>
      </w:r>
      <w:r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计算C</w:t>
      </w:r>
      <w:r>
        <w:rPr>
          <w:rFonts w:ascii="宋体" w:eastAsia="宋体" w:hAnsi="宋体"/>
        </w:rPr>
        <w:t>/N</w:t>
      </w:r>
      <w:r>
        <w:rPr>
          <w:rFonts w:ascii="宋体" w:eastAsia="宋体" w:hAnsi="宋体" w:hint="eastAsia"/>
        </w:rPr>
        <w:t>，与数据集中的C/N值进行对比，发现有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组数据存在数值上的偏差</w:t>
      </w:r>
      <w:r w:rsidR="008E70F1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例如2</w:t>
      </w:r>
      <w:r>
        <w:rPr>
          <w:rFonts w:ascii="宋体" w:eastAsia="宋体" w:hAnsi="宋体"/>
        </w:rPr>
        <w:t>012</w:t>
      </w:r>
      <w:r>
        <w:rPr>
          <w:rFonts w:ascii="宋体" w:eastAsia="宋体" w:hAnsi="宋体" w:hint="eastAsia"/>
        </w:rPr>
        <w:t>年在G9区域进行的碳氮数据检测，通过式[</w:t>
      </w:r>
      <w:r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计算出来的C/N值与数据集中提供的C/N有2</w:t>
      </w:r>
      <w:r>
        <w:rPr>
          <w:rFonts w:ascii="宋体" w:eastAsia="宋体" w:hAnsi="宋体"/>
        </w:rPr>
        <w:t>.3</w:t>
      </w:r>
      <w:r>
        <w:rPr>
          <w:rFonts w:ascii="宋体" w:eastAsia="宋体" w:hAnsi="宋体" w:hint="eastAsia"/>
        </w:rPr>
        <w:t>（%）的差距，这里猜想是数据集中对数据的计算处理有</w:t>
      </w:r>
      <w:r w:rsidR="008E70F1">
        <w:rPr>
          <w:rFonts w:ascii="宋体" w:eastAsia="宋体" w:hAnsi="宋体" w:hint="eastAsia"/>
        </w:rPr>
        <w:t>一定的</w:t>
      </w:r>
      <w:r>
        <w:rPr>
          <w:rFonts w:ascii="宋体" w:eastAsia="宋体" w:hAnsi="宋体" w:hint="eastAsia"/>
        </w:rPr>
        <w:t>误差，</w:t>
      </w:r>
      <w:r w:rsidR="008E70F1">
        <w:rPr>
          <w:rFonts w:ascii="宋体" w:eastAsia="宋体" w:hAnsi="宋体" w:hint="eastAsia"/>
        </w:rPr>
        <w:t>因此对</w:t>
      </w:r>
      <w:r>
        <w:rPr>
          <w:rFonts w:ascii="宋体" w:eastAsia="宋体" w:hAnsi="宋体" w:hint="eastAsia"/>
        </w:rPr>
        <w:t>本题中</w:t>
      </w:r>
      <w:r w:rsidR="008E70F1">
        <w:rPr>
          <w:rFonts w:ascii="宋体" w:eastAsia="宋体" w:hAnsi="宋体" w:hint="eastAsia"/>
        </w:rPr>
        <w:t>即将进行</w:t>
      </w:r>
      <w:r>
        <w:rPr>
          <w:rFonts w:ascii="宋体" w:eastAsia="宋体" w:hAnsi="宋体" w:hint="eastAsia"/>
        </w:rPr>
        <w:t>的预测</w:t>
      </w:r>
      <w:r w:rsidR="008E70F1">
        <w:rPr>
          <w:rFonts w:ascii="宋体" w:eastAsia="宋体" w:hAnsi="宋体" w:hint="eastAsia"/>
        </w:rPr>
        <w:t>没有影响</w:t>
      </w:r>
      <w:r>
        <w:rPr>
          <w:rFonts w:ascii="宋体" w:eastAsia="宋体" w:hAnsi="宋体" w:hint="eastAsia"/>
        </w:rPr>
        <w:t>。</w:t>
      </w:r>
    </w:p>
    <w:p w14:paraId="14E536C8" w14:textId="3A56A6C3" w:rsidR="00DD759F" w:rsidRDefault="000123AB" w:rsidP="00DD759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.2</w:t>
      </w:r>
      <w:r>
        <w:rPr>
          <w:rFonts w:ascii="宋体" w:eastAsia="宋体" w:hAnsi="宋体" w:hint="eastAsia"/>
        </w:rPr>
        <w:t>.</w:t>
      </w:r>
      <w:r w:rsidR="00DD759F">
        <w:rPr>
          <w:rFonts w:ascii="宋体" w:eastAsia="宋体" w:hAnsi="宋体"/>
        </w:rPr>
        <w:t>3</w:t>
      </w:r>
      <w:r w:rsidR="00273B26">
        <w:rPr>
          <w:rFonts w:ascii="宋体" w:eastAsia="宋体" w:hAnsi="宋体" w:hint="eastAsia"/>
        </w:rPr>
        <w:t>灰度预测</w:t>
      </w:r>
    </w:p>
    <w:p w14:paraId="758694D0" w14:textId="0D9CB989" w:rsidR="00DD759F" w:rsidRDefault="00DD759F" w:rsidP="00DD75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 w:rsidR="008E70F1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为2</w:t>
      </w:r>
      <w:r>
        <w:rPr>
          <w:rFonts w:ascii="宋体" w:eastAsia="宋体" w:hAnsi="宋体"/>
        </w:rPr>
        <w:t>012</w:t>
      </w:r>
      <w:r>
        <w:rPr>
          <w:rFonts w:ascii="宋体" w:eastAsia="宋体" w:hAnsi="宋体" w:hint="eastAsia"/>
        </w:rPr>
        <w:t>年到2</w:t>
      </w:r>
      <w:r>
        <w:rPr>
          <w:rFonts w:ascii="宋体" w:eastAsia="宋体" w:hAnsi="宋体"/>
        </w:rPr>
        <w:t>020</w:t>
      </w:r>
      <w:r>
        <w:rPr>
          <w:rFonts w:ascii="宋体" w:eastAsia="宋体" w:hAnsi="宋体" w:hint="eastAsia"/>
        </w:rPr>
        <w:t>年间G20区域的</w:t>
      </w:r>
      <w:r w:rsidRPr="006A528C">
        <w:rPr>
          <w:rFonts w:ascii="宋体" w:eastAsia="宋体" w:hAnsi="宋体"/>
        </w:rPr>
        <w:t>SOC</w:t>
      </w:r>
      <w:r>
        <w:rPr>
          <w:rFonts w:ascii="宋体" w:eastAsia="宋体" w:hAnsi="宋体" w:hint="eastAsia"/>
        </w:rPr>
        <w:t>、SIC、N的变化趋势，图 为2</w:t>
      </w:r>
      <w:r>
        <w:rPr>
          <w:rFonts w:ascii="宋体" w:eastAsia="宋体" w:hAnsi="宋体"/>
        </w:rPr>
        <w:t>012</w:t>
      </w:r>
      <w:r>
        <w:rPr>
          <w:rFonts w:ascii="宋体" w:eastAsia="宋体" w:hAnsi="宋体" w:hint="eastAsia"/>
        </w:rPr>
        <w:t>年到2</w:t>
      </w:r>
      <w:r>
        <w:rPr>
          <w:rFonts w:ascii="宋体" w:eastAsia="宋体" w:hAnsi="宋体"/>
        </w:rPr>
        <w:t>020</w:t>
      </w:r>
      <w:r>
        <w:rPr>
          <w:rFonts w:ascii="宋体" w:eastAsia="宋体" w:hAnsi="宋体" w:hint="eastAsia"/>
        </w:rPr>
        <w:t>年间G20区域的C</w:t>
      </w:r>
      <w:r>
        <w:rPr>
          <w:rFonts w:ascii="宋体" w:eastAsia="宋体" w:hAnsi="宋体"/>
        </w:rPr>
        <w:t>/N</w:t>
      </w:r>
      <w:r>
        <w:rPr>
          <w:rFonts w:ascii="宋体" w:eastAsia="宋体" w:hAnsi="宋体" w:hint="eastAsia"/>
        </w:rPr>
        <w:t>比变化趋势。</w:t>
      </w:r>
    </w:p>
    <w:p w14:paraId="4B06B2AE" w14:textId="1EBDE1A7" w:rsidR="00DD759F" w:rsidRPr="000123AB" w:rsidRDefault="00DD759F" w:rsidP="00DD759F">
      <w:pPr>
        <w:rPr>
          <w:rFonts w:ascii="宋体" w:eastAsia="宋体" w:hAnsi="宋体"/>
        </w:rPr>
      </w:pPr>
      <w:r>
        <w:rPr>
          <w:rFonts w:hint="eastAsia"/>
          <w:noProof/>
        </w:rPr>
        <w:drawing>
          <wp:inline distT="0" distB="0" distL="0" distR="0" wp14:anchorId="67689B41" wp14:editId="3318FB95">
            <wp:extent cx="2520000" cy="19097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0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0785D57" wp14:editId="04A1C71F">
            <wp:extent cx="2520000" cy="19097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0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19972" w14:textId="77777777" w:rsidR="00DD759F" w:rsidRDefault="00DD759F" w:rsidP="00DD75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从图中可以看出，经过G</w:t>
      </w:r>
      <w:r>
        <w:rPr>
          <w:rFonts w:ascii="宋体" w:eastAsia="宋体" w:hAnsi="宋体"/>
        </w:rPr>
        <w:t>20</w:t>
      </w:r>
      <w:r>
        <w:rPr>
          <w:rFonts w:ascii="宋体" w:eastAsia="宋体" w:hAnsi="宋体" w:hint="eastAsia"/>
        </w:rPr>
        <w:t>区域内常年地重度放牧后，碳氮比总体呈下降趋势，这对未来土壤化学性质的预测提供了参考。</w:t>
      </w:r>
    </w:p>
    <w:p w14:paraId="15BF13D6" w14:textId="4479C45A" w:rsidR="00AD4512" w:rsidRDefault="008E70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本数据集的特点是数据量极少，具体来讲，对于特定区域只有过去若干年内的5组数据，</w:t>
      </w:r>
      <w:r w:rsidR="005A4BF7">
        <w:rPr>
          <w:rFonts w:ascii="宋体" w:eastAsia="宋体" w:hAnsi="宋体" w:hint="eastAsia"/>
        </w:rPr>
        <w:t>因此</w:t>
      </w:r>
      <w:r>
        <w:rPr>
          <w:rFonts w:ascii="宋体" w:eastAsia="宋体" w:hAnsi="宋体" w:hint="eastAsia"/>
        </w:rPr>
        <w:t>这里需要通过</w:t>
      </w:r>
      <w:r w:rsidR="005A4BF7">
        <w:rPr>
          <w:rFonts w:ascii="宋体" w:eastAsia="宋体" w:hAnsi="宋体" w:hint="eastAsia"/>
        </w:rPr>
        <w:t>仅有的</w:t>
      </w:r>
      <w:r>
        <w:rPr>
          <w:rFonts w:ascii="宋体" w:eastAsia="宋体" w:hAnsi="宋体" w:hint="eastAsia"/>
        </w:rPr>
        <w:t>5组数据来进行预测。</w:t>
      </w:r>
      <w:r w:rsidR="00AD4512">
        <w:rPr>
          <w:rFonts w:ascii="宋体" w:eastAsia="宋体" w:hAnsi="宋体" w:hint="eastAsia"/>
        </w:rPr>
        <w:t>灰度预测模型</w:t>
      </w:r>
      <w:r w:rsidR="00AD4512" w:rsidRPr="00AD4512">
        <w:rPr>
          <w:rFonts w:ascii="宋体" w:eastAsia="宋体" w:hAnsi="宋体" w:hint="eastAsia"/>
        </w:rPr>
        <w:t>是基于客观事物的过去和现在的发展规律</w:t>
      </w:r>
      <w:r w:rsidR="00AD4512">
        <w:rPr>
          <w:rFonts w:ascii="宋体" w:eastAsia="宋体" w:hAnsi="宋体" w:hint="eastAsia"/>
        </w:rPr>
        <w:t>来进行预测</w:t>
      </w:r>
      <w:r w:rsidR="005A4BF7">
        <w:rPr>
          <w:rFonts w:ascii="宋体" w:eastAsia="宋体" w:hAnsi="宋体" w:hint="eastAsia"/>
        </w:rPr>
        <w:t>的一种模型</w:t>
      </w:r>
      <w:r>
        <w:rPr>
          <w:rFonts w:ascii="宋体" w:eastAsia="宋体" w:hAnsi="宋体" w:hint="eastAsia"/>
        </w:rPr>
        <w:t>，该模型在</w:t>
      </w:r>
      <w:r w:rsidR="00AD4512">
        <w:rPr>
          <w:rFonts w:ascii="宋体" w:eastAsia="宋体" w:hAnsi="宋体" w:hint="eastAsia"/>
        </w:rPr>
        <w:t>采用极少量样本预测未来短期内</w:t>
      </w:r>
      <w:r>
        <w:rPr>
          <w:rFonts w:ascii="宋体" w:eastAsia="宋体" w:hAnsi="宋体" w:hint="eastAsia"/>
        </w:rPr>
        <w:t>的数据上具有一定的优势，因此适用于本题中的情况。</w:t>
      </w:r>
    </w:p>
    <w:p w14:paraId="39625675" w14:textId="4BA9E13B" w:rsidR="00273B26" w:rsidRDefault="00273B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灰度预测的结果</w:t>
      </w:r>
      <w:r w:rsidR="008E70F1">
        <w:rPr>
          <w:rFonts w:ascii="宋体" w:eastAsia="宋体" w:hAnsi="宋体" w:hint="eastAsia"/>
        </w:rPr>
        <w:t>（STC和C</w:t>
      </w:r>
      <w:r w:rsidR="008E70F1">
        <w:rPr>
          <w:rFonts w:ascii="宋体" w:eastAsia="宋体" w:hAnsi="宋体"/>
        </w:rPr>
        <w:t>/</w:t>
      </w:r>
      <w:r w:rsidR="008E70F1">
        <w:rPr>
          <w:rFonts w:ascii="宋体" w:eastAsia="宋体" w:hAnsi="宋体" w:hint="eastAsia"/>
        </w:rPr>
        <w:t>N是计算出来的）</w:t>
      </w:r>
      <w:r w:rsidR="00D303DE">
        <w:rPr>
          <w:rFonts w:ascii="宋体" w:eastAsia="宋体" w:hAnsi="宋体" w:hint="eastAsia"/>
        </w:rPr>
        <w:t xml:space="preserve">见表 </w:t>
      </w:r>
      <w:r w:rsidR="008E70F1">
        <w:rPr>
          <w:rFonts w:ascii="宋体" w:eastAsia="宋体" w:hAnsi="宋体" w:hint="eastAsia"/>
        </w:rPr>
        <w:t>，数据保留了</w:t>
      </w:r>
      <w:r w:rsidR="00D303DE">
        <w:rPr>
          <w:rFonts w:ascii="宋体" w:eastAsia="宋体" w:hAnsi="宋体" w:hint="eastAsia"/>
        </w:rPr>
        <w:t>两位小数，与附件1</w:t>
      </w:r>
      <w:r w:rsidR="00D303DE">
        <w:rPr>
          <w:rFonts w:ascii="宋体" w:eastAsia="宋体" w:hAnsi="宋体"/>
        </w:rPr>
        <w:t>4</w:t>
      </w:r>
      <w:r w:rsidR="00D303DE">
        <w:rPr>
          <w:rFonts w:ascii="宋体" w:eastAsia="宋体" w:hAnsi="宋体" w:hint="eastAsia"/>
        </w:rPr>
        <w:t>保持一致。</w:t>
      </w:r>
    </w:p>
    <w:p w14:paraId="7B06BA50" w14:textId="4C268021" w:rsidR="00D303DE" w:rsidRDefault="00D303DE">
      <w:pPr>
        <w:rPr>
          <w:rFonts w:ascii="宋体" w:eastAsia="宋体" w:hAnsi="宋体"/>
        </w:rPr>
      </w:pPr>
    </w:p>
    <w:p w14:paraId="7C0E4F92" w14:textId="025600E2" w:rsidR="00D303DE" w:rsidRDefault="00D303DE">
      <w:pPr>
        <w:rPr>
          <w:rFonts w:ascii="宋体" w:eastAsia="宋体" w:hAnsi="宋体"/>
        </w:rPr>
      </w:pPr>
    </w:p>
    <w:p w14:paraId="386C933A" w14:textId="7B05103F" w:rsidR="00D303DE" w:rsidRDefault="00D303DE">
      <w:pPr>
        <w:rPr>
          <w:rFonts w:ascii="宋体" w:eastAsia="宋体" w:hAnsi="宋体"/>
        </w:rPr>
      </w:pPr>
    </w:p>
    <w:p w14:paraId="3F79618C" w14:textId="77777777" w:rsidR="00D303DE" w:rsidRDefault="00D303DE">
      <w:pPr>
        <w:rPr>
          <w:rFonts w:ascii="宋体" w:eastAsia="宋体" w:hAnsi="宋体" w:hint="eastAsia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63"/>
        <w:gridCol w:w="1155"/>
        <w:gridCol w:w="1470"/>
        <w:gridCol w:w="1365"/>
        <w:gridCol w:w="1260"/>
        <w:gridCol w:w="1087"/>
        <w:gridCol w:w="1322"/>
      </w:tblGrid>
      <w:tr w:rsidR="00273B26" w:rsidRPr="00D303DE" w14:paraId="3174EAA1" w14:textId="77777777" w:rsidTr="008E70F1">
        <w:trPr>
          <w:jc w:val="center"/>
        </w:trPr>
        <w:tc>
          <w:tcPr>
            <w:tcW w:w="863" w:type="dxa"/>
            <w:vAlign w:val="center"/>
          </w:tcPr>
          <w:p w14:paraId="027A70B3" w14:textId="77777777" w:rsidR="00273B26" w:rsidRPr="00D303DE" w:rsidRDefault="00273B26" w:rsidP="000E48F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bookmarkStart w:id="0" w:name="OLE_LINK6"/>
            <w:r w:rsidRPr="00D303DE">
              <w:rPr>
                <w:rFonts w:ascii="Times New Roman" w:hAnsi="Times New Roman" w:cs="Times New Roman"/>
                <w:szCs w:val="21"/>
              </w:rPr>
              <w:t>放牧</w:t>
            </w:r>
          </w:p>
          <w:p w14:paraId="2E422D37" w14:textId="77777777" w:rsidR="00273B26" w:rsidRPr="00D303DE" w:rsidRDefault="00273B26" w:rsidP="000E48F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强度</w:t>
            </w:r>
          </w:p>
        </w:tc>
        <w:tc>
          <w:tcPr>
            <w:tcW w:w="1155" w:type="dxa"/>
            <w:vAlign w:val="center"/>
          </w:tcPr>
          <w:p w14:paraId="3BCD5493" w14:textId="77777777" w:rsidR="00273B26" w:rsidRPr="00D303DE" w:rsidRDefault="00273B26" w:rsidP="000E48F4">
            <w:pPr>
              <w:widowControl/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Plot</w:t>
            </w:r>
          </w:p>
          <w:p w14:paraId="4F3261B8" w14:textId="77777777" w:rsidR="00273B26" w:rsidRPr="00D303DE" w:rsidRDefault="00273B26" w:rsidP="000E48F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放牧小区</w:t>
            </w:r>
          </w:p>
        </w:tc>
        <w:tc>
          <w:tcPr>
            <w:tcW w:w="1470" w:type="dxa"/>
            <w:vAlign w:val="center"/>
          </w:tcPr>
          <w:p w14:paraId="5ADBB346" w14:textId="77777777" w:rsidR="00273B26" w:rsidRPr="00D303DE" w:rsidRDefault="00273B26" w:rsidP="000E48F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SOC</w:t>
            </w:r>
          </w:p>
          <w:p w14:paraId="39795FB1" w14:textId="77777777" w:rsidR="00273B26" w:rsidRPr="00D303DE" w:rsidRDefault="00273B26" w:rsidP="000E48F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土壤有机碳</w:t>
            </w:r>
          </w:p>
        </w:tc>
        <w:tc>
          <w:tcPr>
            <w:tcW w:w="1365" w:type="dxa"/>
            <w:vAlign w:val="center"/>
          </w:tcPr>
          <w:p w14:paraId="0058EC49" w14:textId="77777777" w:rsidR="00273B26" w:rsidRPr="00D303DE" w:rsidRDefault="00273B26" w:rsidP="000E48F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SIC</w:t>
            </w:r>
          </w:p>
          <w:p w14:paraId="6E6D5DF8" w14:textId="77777777" w:rsidR="00273B26" w:rsidRPr="00D303DE" w:rsidRDefault="00273B26" w:rsidP="000E48F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土壤无机碳</w:t>
            </w:r>
          </w:p>
        </w:tc>
        <w:tc>
          <w:tcPr>
            <w:tcW w:w="1260" w:type="dxa"/>
            <w:vAlign w:val="center"/>
          </w:tcPr>
          <w:p w14:paraId="74BAEECD" w14:textId="77777777" w:rsidR="00273B26" w:rsidRPr="00D303DE" w:rsidRDefault="00273B26" w:rsidP="000E48F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STC</w:t>
            </w:r>
          </w:p>
          <w:p w14:paraId="42681281" w14:textId="77777777" w:rsidR="00273B26" w:rsidRPr="00D303DE" w:rsidRDefault="00273B26" w:rsidP="000E48F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土壤全碳</w:t>
            </w:r>
          </w:p>
        </w:tc>
        <w:tc>
          <w:tcPr>
            <w:tcW w:w="1087" w:type="dxa"/>
            <w:vAlign w:val="center"/>
          </w:tcPr>
          <w:p w14:paraId="2D9AA539" w14:textId="77777777" w:rsidR="00273B26" w:rsidRPr="00D303DE" w:rsidRDefault="00273B26" w:rsidP="000E48F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全</w:t>
            </w:r>
            <w:r w:rsidRPr="00D303DE">
              <w:rPr>
                <w:rFonts w:ascii="Times New Roman" w:hAnsi="Times New Roman" w:cs="Times New Roman"/>
                <w:szCs w:val="21"/>
              </w:rPr>
              <w:t>N</w:t>
            </w:r>
          </w:p>
        </w:tc>
        <w:tc>
          <w:tcPr>
            <w:tcW w:w="1322" w:type="dxa"/>
            <w:vAlign w:val="center"/>
          </w:tcPr>
          <w:p w14:paraId="20C144B0" w14:textId="77777777" w:rsidR="00273B26" w:rsidRPr="00D303DE" w:rsidRDefault="00273B26" w:rsidP="000E48F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土壤</w:t>
            </w:r>
            <w:r w:rsidRPr="00D303DE">
              <w:rPr>
                <w:rFonts w:ascii="Times New Roman" w:hAnsi="Times New Roman" w:cs="Times New Roman"/>
                <w:szCs w:val="21"/>
              </w:rPr>
              <w:t>C/N</w:t>
            </w:r>
            <w:r w:rsidRPr="00D303DE">
              <w:rPr>
                <w:rFonts w:ascii="Times New Roman" w:hAnsi="Times New Roman" w:cs="Times New Roman"/>
                <w:szCs w:val="21"/>
              </w:rPr>
              <w:t>比</w:t>
            </w:r>
          </w:p>
        </w:tc>
      </w:tr>
      <w:bookmarkEnd w:id="0"/>
      <w:tr w:rsidR="00D303DE" w:rsidRPr="00D303DE" w14:paraId="44246674" w14:textId="77777777" w:rsidTr="00D303DE">
        <w:trPr>
          <w:jc w:val="center"/>
        </w:trPr>
        <w:tc>
          <w:tcPr>
            <w:tcW w:w="863" w:type="dxa"/>
            <w:vMerge w:val="restart"/>
            <w:vAlign w:val="center"/>
          </w:tcPr>
          <w:p w14:paraId="6D5A0265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NG</w:t>
            </w:r>
          </w:p>
        </w:tc>
        <w:tc>
          <w:tcPr>
            <w:tcW w:w="1155" w:type="dxa"/>
            <w:vAlign w:val="center"/>
          </w:tcPr>
          <w:p w14:paraId="311AC9B7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G17</w:t>
            </w:r>
          </w:p>
        </w:tc>
        <w:tc>
          <w:tcPr>
            <w:tcW w:w="1470" w:type="dxa"/>
          </w:tcPr>
          <w:p w14:paraId="6BB9300B" w14:textId="5CFAE59B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17.98 </w:t>
            </w:r>
          </w:p>
        </w:tc>
        <w:tc>
          <w:tcPr>
            <w:tcW w:w="1365" w:type="dxa"/>
          </w:tcPr>
          <w:p w14:paraId="3A750989" w14:textId="6E089CDD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4.93 </w:t>
            </w:r>
          </w:p>
        </w:tc>
        <w:tc>
          <w:tcPr>
            <w:tcW w:w="1260" w:type="dxa"/>
            <w:shd w:val="clear" w:color="auto" w:fill="auto"/>
          </w:tcPr>
          <w:p w14:paraId="36FBAA35" w14:textId="7617FC9B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22.90 </w:t>
            </w:r>
          </w:p>
        </w:tc>
        <w:tc>
          <w:tcPr>
            <w:tcW w:w="1087" w:type="dxa"/>
          </w:tcPr>
          <w:p w14:paraId="6FBD7A22" w14:textId="45FDACFF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2.31 </w:t>
            </w:r>
          </w:p>
        </w:tc>
        <w:tc>
          <w:tcPr>
            <w:tcW w:w="1322" w:type="dxa"/>
            <w:shd w:val="clear" w:color="auto" w:fill="auto"/>
          </w:tcPr>
          <w:p w14:paraId="5303641C" w14:textId="1EA1B39C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9.91 </w:t>
            </w:r>
          </w:p>
        </w:tc>
      </w:tr>
      <w:tr w:rsidR="00D303DE" w:rsidRPr="00D303DE" w14:paraId="77BBEB53" w14:textId="77777777" w:rsidTr="00D303DE">
        <w:trPr>
          <w:jc w:val="center"/>
        </w:trPr>
        <w:tc>
          <w:tcPr>
            <w:tcW w:w="863" w:type="dxa"/>
            <w:vMerge/>
            <w:vAlign w:val="center"/>
          </w:tcPr>
          <w:p w14:paraId="437B59A4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5" w:type="dxa"/>
            <w:vAlign w:val="center"/>
          </w:tcPr>
          <w:p w14:paraId="6E2AB8D3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G19</w:t>
            </w:r>
          </w:p>
        </w:tc>
        <w:tc>
          <w:tcPr>
            <w:tcW w:w="1470" w:type="dxa"/>
          </w:tcPr>
          <w:p w14:paraId="78016518" w14:textId="50A38B8C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18.09 </w:t>
            </w:r>
          </w:p>
        </w:tc>
        <w:tc>
          <w:tcPr>
            <w:tcW w:w="1365" w:type="dxa"/>
          </w:tcPr>
          <w:p w14:paraId="68904007" w14:textId="42B3C060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3.65 </w:t>
            </w:r>
          </w:p>
        </w:tc>
        <w:tc>
          <w:tcPr>
            <w:tcW w:w="1260" w:type="dxa"/>
            <w:shd w:val="clear" w:color="auto" w:fill="auto"/>
          </w:tcPr>
          <w:p w14:paraId="00F5458E" w14:textId="52D9AA06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21.74 </w:t>
            </w:r>
          </w:p>
        </w:tc>
        <w:tc>
          <w:tcPr>
            <w:tcW w:w="1087" w:type="dxa"/>
          </w:tcPr>
          <w:p w14:paraId="5C7A1979" w14:textId="0E457361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2.40 </w:t>
            </w:r>
          </w:p>
        </w:tc>
        <w:tc>
          <w:tcPr>
            <w:tcW w:w="1322" w:type="dxa"/>
            <w:shd w:val="clear" w:color="auto" w:fill="auto"/>
          </w:tcPr>
          <w:p w14:paraId="53301C56" w14:textId="497F9154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9.07 </w:t>
            </w:r>
          </w:p>
        </w:tc>
      </w:tr>
      <w:tr w:rsidR="00D303DE" w:rsidRPr="00D303DE" w14:paraId="0510E3E2" w14:textId="77777777" w:rsidTr="00D303DE">
        <w:trPr>
          <w:jc w:val="center"/>
        </w:trPr>
        <w:tc>
          <w:tcPr>
            <w:tcW w:w="863" w:type="dxa"/>
            <w:vMerge/>
            <w:vAlign w:val="center"/>
          </w:tcPr>
          <w:p w14:paraId="7F3FD86B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5" w:type="dxa"/>
            <w:vAlign w:val="center"/>
          </w:tcPr>
          <w:p w14:paraId="4F5E7815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G21</w:t>
            </w:r>
          </w:p>
        </w:tc>
        <w:tc>
          <w:tcPr>
            <w:tcW w:w="1470" w:type="dxa"/>
          </w:tcPr>
          <w:p w14:paraId="7631972A" w14:textId="4D840E5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22.70 </w:t>
            </w:r>
          </w:p>
        </w:tc>
        <w:tc>
          <w:tcPr>
            <w:tcW w:w="1365" w:type="dxa"/>
          </w:tcPr>
          <w:p w14:paraId="678128C8" w14:textId="196A2E82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3.06 </w:t>
            </w:r>
          </w:p>
        </w:tc>
        <w:tc>
          <w:tcPr>
            <w:tcW w:w="1260" w:type="dxa"/>
            <w:shd w:val="clear" w:color="auto" w:fill="auto"/>
          </w:tcPr>
          <w:p w14:paraId="61066AAE" w14:textId="6B14101D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25.76 </w:t>
            </w:r>
          </w:p>
        </w:tc>
        <w:tc>
          <w:tcPr>
            <w:tcW w:w="1087" w:type="dxa"/>
          </w:tcPr>
          <w:p w14:paraId="4E376FE0" w14:textId="560E0CB8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2.77 </w:t>
            </w:r>
          </w:p>
        </w:tc>
        <w:tc>
          <w:tcPr>
            <w:tcW w:w="1322" w:type="dxa"/>
            <w:shd w:val="clear" w:color="auto" w:fill="auto"/>
          </w:tcPr>
          <w:p w14:paraId="3FCBB5F9" w14:textId="5E8D9E8D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9.31 </w:t>
            </w:r>
          </w:p>
        </w:tc>
      </w:tr>
      <w:tr w:rsidR="00D303DE" w:rsidRPr="00D303DE" w14:paraId="0A82870D" w14:textId="77777777" w:rsidTr="00D303DE">
        <w:trPr>
          <w:jc w:val="center"/>
        </w:trPr>
        <w:tc>
          <w:tcPr>
            <w:tcW w:w="863" w:type="dxa"/>
            <w:vMerge w:val="restart"/>
            <w:vAlign w:val="center"/>
          </w:tcPr>
          <w:p w14:paraId="74030115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LGI</w:t>
            </w:r>
          </w:p>
        </w:tc>
        <w:tc>
          <w:tcPr>
            <w:tcW w:w="1155" w:type="dxa"/>
            <w:vAlign w:val="center"/>
          </w:tcPr>
          <w:p w14:paraId="324D745F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G6</w:t>
            </w:r>
          </w:p>
        </w:tc>
        <w:tc>
          <w:tcPr>
            <w:tcW w:w="1470" w:type="dxa"/>
          </w:tcPr>
          <w:p w14:paraId="60763029" w14:textId="3320BF34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14.89 </w:t>
            </w:r>
          </w:p>
        </w:tc>
        <w:tc>
          <w:tcPr>
            <w:tcW w:w="1365" w:type="dxa"/>
          </w:tcPr>
          <w:p w14:paraId="312271F5" w14:textId="53327431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1.89 </w:t>
            </w:r>
          </w:p>
        </w:tc>
        <w:tc>
          <w:tcPr>
            <w:tcW w:w="1260" w:type="dxa"/>
            <w:shd w:val="clear" w:color="auto" w:fill="auto"/>
          </w:tcPr>
          <w:p w14:paraId="117A8E69" w14:textId="1271DEAE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16.78 </w:t>
            </w:r>
          </w:p>
        </w:tc>
        <w:tc>
          <w:tcPr>
            <w:tcW w:w="1087" w:type="dxa"/>
          </w:tcPr>
          <w:p w14:paraId="25B613C9" w14:textId="689AE5D9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2.17 </w:t>
            </w:r>
          </w:p>
        </w:tc>
        <w:tc>
          <w:tcPr>
            <w:tcW w:w="1322" w:type="dxa"/>
            <w:shd w:val="clear" w:color="auto" w:fill="auto"/>
          </w:tcPr>
          <w:p w14:paraId="5521BDFD" w14:textId="1163A735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7.72 </w:t>
            </w:r>
          </w:p>
        </w:tc>
      </w:tr>
      <w:tr w:rsidR="00D303DE" w:rsidRPr="00D303DE" w14:paraId="12931396" w14:textId="77777777" w:rsidTr="00D303DE">
        <w:trPr>
          <w:jc w:val="center"/>
        </w:trPr>
        <w:tc>
          <w:tcPr>
            <w:tcW w:w="863" w:type="dxa"/>
            <w:vMerge/>
            <w:vAlign w:val="center"/>
          </w:tcPr>
          <w:p w14:paraId="4C83C607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5" w:type="dxa"/>
            <w:vAlign w:val="center"/>
          </w:tcPr>
          <w:p w14:paraId="7650DF3E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G12</w:t>
            </w:r>
          </w:p>
        </w:tc>
        <w:tc>
          <w:tcPr>
            <w:tcW w:w="1470" w:type="dxa"/>
          </w:tcPr>
          <w:p w14:paraId="17915286" w14:textId="55418254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16.44 </w:t>
            </w:r>
          </w:p>
        </w:tc>
        <w:tc>
          <w:tcPr>
            <w:tcW w:w="1365" w:type="dxa"/>
          </w:tcPr>
          <w:p w14:paraId="3D17A20A" w14:textId="0607EF3C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2.31 </w:t>
            </w:r>
          </w:p>
        </w:tc>
        <w:tc>
          <w:tcPr>
            <w:tcW w:w="1260" w:type="dxa"/>
            <w:shd w:val="clear" w:color="auto" w:fill="auto"/>
          </w:tcPr>
          <w:p w14:paraId="4EB03EC9" w14:textId="1187D324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18.75 </w:t>
            </w:r>
          </w:p>
        </w:tc>
        <w:tc>
          <w:tcPr>
            <w:tcW w:w="1087" w:type="dxa"/>
          </w:tcPr>
          <w:p w14:paraId="5A658719" w14:textId="197C6791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2.02 </w:t>
            </w:r>
          </w:p>
        </w:tc>
        <w:tc>
          <w:tcPr>
            <w:tcW w:w="1322" w:type="dxa"/>
            <w:shd w:val="clear" w:color="auto" w:fill="auto"/>
          </w:tcPr>
          <w:p w14:paraId="03FCC15F" w14:textId="4B3B09D1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9.29 </w:t>
            </w:r>
          </w:p>
        </w:tc>
      </w:tr>
      <w:tr w:rsidR="00D303DE" w:rsidRPr="00D303DE" w14:paraId="365F7140" w14:textId="77777777" w:rsidTr="00D303DE">
        <w:trPr>
          <w:jc w:val="center"/>
        </w:trPr>
        <w:tc>
          <w:tcPr>
            <w:tcW w:w="863" w:type="dxa"/>
            <w:vMerge/>
            <w:vAlign w:val="center"/>
          </w:tcPr>
          <w:p w14:paraId="2F630C34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5" w:type="dxa"/>
            <w:vAlign w:val="center"/>
          </w:tcPr>
          <w:p w14:paraId="05D7EEE7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G18</w:t>
            </w:r>
          </w:p>
        </w:tc>
        <w:tc>
          <w:tcPr>
            <w:tcW w:w="1470" w:type="dxa"/>
          </w:tcPr>
          <w:p w14:paraId="47F4B663" w14:textId="6646647E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21.44 </w:t>
            </w:r>
          </w:p>
        </w:tc>
        <w:tc>
          <w:tcPr>
            <w:tcW w:w="1365" w:type="dxa"/>
          </w:tcPr>
          <w:p w14:paraId="1205BCB9" w14:textId="123FC9C1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5.59 </w:t>
            </w:r>
          </w:p>
        </w:tc>
        <w:tc>
          <w:tcPr>
            <w:tcW w:w="1260" w:type="dxa"/>
            <w:shd w:val="clear" w:color="auto" w:fill="auto"/>
          </w:tcPr>
          <w:p w14:paraId="0125C700" w14:textId="0A80F915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27.03 </w:t>
            </w:r>
          </w:p>
        </w:tc>
        <w:tc>
          <w:tcPr>
            <w:tcW w:w="1087" w:type="dxa"/>
          </w:tcPr>
          <w:p w14:paraId="214FEA8C" w14:textId="0712FFA4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2.47 </w:t>
            </w:r>
          </w:p>
        </w:tc>
        <w:tc>
          <w:tcPr>
            <w:tcW w:w="1322" w:type="dxa"/>
            <w:shd w:val="clear" w:color="auto" w:fill="auto"/>
          </w:tcPr>
          <w:p w14:paraId="11E5C266" w14:textId="55CF6711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10.95 </w:t>
            </w:r>
          </w:p>
        </w:tc>
      </w:tr>
      <w:tr w:rsidR="00D303DE" w:rsidRPr="00D303DE" w14:paraId="663F6721" w14:textId="77777777" w:rsidTr="00D303DE">
        <w:trPr>
          <w:jc w:val="center"/>
        </w:trPr>
        <w:tc>
          <w:tcPr>
            <w:tcW w:w="863" w:type="dxa"/>
            <w:vMerge w:val="restart"/>
            <w:vAlign w:val="center"/>
          </w:tcPr>
          <w:p w14:paraId="06886A33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MGI</w:t>
            </w:r>
          </w:p>
        </w:tc>
        <w:tc>
          <w:tcPr>
            <w:tcW w:w="1155" w:type="dxa"/>
            <w:vAlign w:val="center"/>
          </w:tcPr>
          <w:p w14:paraId="3A5EDC54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G8</w:t>
            </w:r>
          </w:p>
        </w:tc>
        <w:tc>
          <w:tcPr>
            <w:tcW w:w="1470" w:type="dxa"/>
          </w:tcPr>
          <w:p w14:paraId="64374606" w14:textId="1233468A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14.25 </w:t>
            </w:r>
          </w:p>
        </w:tc>
        <w:tc>
          <w:tcPr>
            <w:tcW w:w="1365" w:type="dxa"/>
          </w:tcPr>
          <w:p w14:paraId="37864745" w14:textId="4BC80C41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0.42 </w:t>
            </w:r>
          </w:p>
        </w:tc>
        <w:tc>
          <w:tcPr>
            <w:tcW w:w="1260" w:type="dxa"/>
            <w:shd w:val="clear" w:color="auto" w:fill="auto"/>
          </w:tcPr>
          <w:p w14:paraId="3568FBE8" w14:textId="7284F0FB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14.67 </w:t>
            </w:r>
          </w:p>
        </w:tc>
        <w:tc>
          <w:tcPr>
            <w:tcW w:w="1087" w:type="dxa"/>
          </w:tcPr>
          <w:p w14:paraId="1794C4F5" w14:textId="1E5A6C5A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2.03 </w:t>
            </w:r>
          </w:p>
        </w:tc>
        <w:tc>
          <w:tcPr>
            <w:tcW w:w="1322" w:type="dxa"/>
            <w:shd w:val="clear" w:color="auto" w:fill="auto"/>
          </w:tcPr>
          <w:p w14:paraId="41549E08" w14:textId="0645AE0D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7.22 </w:t>
            </w:r>
          </w:p>
        </w:tc>
      </w:tr>
      <w:tr w:rsidR="00D303DE" w:rsidRPr="00D303DE" w14:paraId="09EAF3E3" w14:textId="77777777" w:rsidTr="00D303DE">
        <w:trPr>
          <w:jc w:val="center"/>
        </w:trPr>
        <w:tc>
          <w:tcPr>
            <w:tcW w:w="863" w:type="dxa"/>
            <w:vMerge/>
            <w:vAlign w:val="center"/>
          </w:tcPr>
          <w:p w14:paraId="29644F1B" w14:textId="77777777" w:rsidR="00D303DE" w:rsidRPr="00D303DE" w:rsidRDefault="00D303DE" w:rsidP="00D303DE">
            <w:pPr>
              <w:widowControl/>
              <w:ind w:firstLine="4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5" w:type="dxa"/>
            <w:vAlign w:val="center"/>
          </w:tcPr>
          <w:p w14:paraId="083B8ACA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G11</w:t>
            </w:r>
          </w:p>
        </w:tc>
        <w:tc>
          <w:tcPr>
            <w:tcW w:w="1470" w:type="dxa"/>
          </w:tcPr>
          <w:p w14:paraId="6F4821E6" w14:textId="4B0B6FA6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14.84 </w:t>
            </w:r>
          </w:p>
        </w:tc>
        <w:tc>
          <w:tcPr>
            <w:tcW w:w="1365" w:type="dxa"/>
          </w:tcPr>
          <w:p w14:paraId="3D496F70" w14:textId="403BCB82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2.16 </w:t>
            </w:r>
          </w:p>
        </w:tc>
        <w:tc>
          <w:tcPr>
            <w:tcW w:w="1260" w:type="dxa"/>
            <w:shd w:val="clear" w:color="auto" w:fill="auto"/>
          </w:tcPr>
          <w:p w14:paraId="4544F155" w14:textId="4C4615F3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17.00 </w:t>
            </w:r>
          </w:p>
        </w:tc>
        <w:tc>
          <w:tcPr>
            <w:tcW w:w="1087" w:type="dxa"/>
          </w:tcPr>
          <w:p w14:paraId="00EB14F6" w14:textId="1831BA9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2.06 </w:t>
            </w:r>
          </w:p>
        </w:tc>
        <w:tc>
          <w:tcPr>
            <w:tcW w:w="1322" w:type="dxa"/>
            <w:shd w:val="clear" w:color="auto" w:fill="auto"/>
          </w:tcPr>
          <w:p w14:paraId="558FD4FE" w14:textId="31D81023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8.27 </w:t>
            </w:r>
          </w:p>
        </w:tc>
      </w:tr>
      <w:tr w:rsidR="00D303DE" w:rsidRPr="00D303DE" w14:paraId="6C592311" w14:textId="77777777" w:rsidTr="00D303DE">
        <w:trPr>
          <w:jc w:val="center"/>
        </w:trPr>
        <w:tc>
          <w:tcPr>
            <w:tcW w:w="863" w:type="dxa"/>
            <w:vMerge/>
            <w:vAlign w:val="center"/>
          </w:tcPr>
          <w:p w14:paraId="159B01B7" w14:textId="77777777" w:rsidR="00D303DE" w:rsidRPr="00D303DE" w:rsidRDefault="00D303DE" w:rsidP="00D303DE">
            <w:pPr>
              <w:widowControl/>
              <w:ind w:firstLine="4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5" w:type="dxa"/>
            <w:vAlign w:val="center"/>
          </w:tcPr>
          <w:p w14:paraId="769D906F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G16</w:t>
            </w:r>
          </w:p>
        </w:tc>
        <w:tc>
          <w:tcPr>
            <w:tcW w:w="1470" w:type="dxa"/>
          </w:tcPr>
          <w:p w14:paraId="15BAF30E" w14:textId="34DC36BA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15.22 </w:t>
            </w:r>
          </w:p>
        </w:tc>
        <w:tc>
          <w:tcPr>
            <w:tcW w:w="1365" w:type="dxa"/>
          </w:tcPr>
          <w:p w14:paraId="400B15F6" w14:textId="6219B4B6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9.49 </w:t>
            </w:r>
          </w:p>
        </w:tc>
        <w:tc>
          <w:tcPr>
            <w:tcW w:w="1260" w:type="dxa"/>
            <w:shd w:val="clear" w:color="auto" w:fill="auto"/>
          </w:tcPr>
          <w:p w14:paraId="045648DA" w14:textId="3E78E5BD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24.71 </w:t>
            </w:r>
          </w:p>
        </w:tc>
        <w:tc>
          <w:tcPr>
            <w:tcW w:w="1087" w:type="dxa"/>
          </w:tcPr>
          <w:p w14:paraId="7D35756F" w14:textId="3DD0923A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1.85 </w:t>
            </w:r>
          </w:p>
        </w:tc>
        <w:tc>
          <w:tcPr>
            <w:tcW w:w="1322" w:type="dxa"/>
            <w:shd w:val="clear" w:color="auto" w:fill="auto"/>
          </w:tcPr>
          <w:p w14:paraId="06E723E8" w14:textId="143720E9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13.38 </w:t>
            </w:r>
          </w:p>
        </w:tc>
      </w:tr>
      <w:tr w:rsidR="00D303DE" w:rsidRPr="00D303DE" w14:paraId="2E945448" w14:textId="77777777" w:rsidTr="00D303DE">
        <w:trPr>
          <w:jc w:val="center"/>
        </w:trPr>
        <w:tc>
          <w:tcPr>
            <w:tcW w:w="863" w:type="dxa"/>
            <w:vMerge w:val="restart"/>
            <w:vAlign w:val="center"/>
          </w:tcPr>
          <w:p w14:paraId="32A32E53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HGI</w:t>
            </w:r>
          </w:p>
        </w:tc>
        <w:tc>
          <w:tcPr>
            <w:tcW w:w="1155" w:type="dxa"/>
            <w:vAlign w:val="center"/>
          </w:tcPr>
          <w:p w14:paraId="3934F667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G9</w:t>
            </w:r>
          </w:p>
        </w:tc>
        <w:tc>
          <w:tcPr>
            <w:tcW w:w="1470" w:type="dxa"/>
          </w:tcPr>
          <w:p w14:paraId="3FDD9580" w14:textId="7F10390D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19.09 </w:t>
            </w:r>
          </w:p>
        </w:tc>
        <w:tc>
          <w:tcPr>
            <w:tcW w:w="1365" w:type="dxa"/>
          </w:tcPr>
          <w:p w14:paraId="32BD1F4D" w14:textId="6B03105C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1.73 </w:t>
            </w:r>
          </w:p>
        </w:tc>
        <w:tc>
          <w:tcPr>
            <w:tcW w:w="1260" w:type="dxa"/>
            <w:shd w:val="clear" w:color="auto" w:fill="auto"/>
          </w:tcPr>
          <w:p w14:paraId="1C66919C" w14:textId="26467CF1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20.82 </w:t>
            </w:r>
          </w:p>
        </w:tc>
        <w:tc>
          <w:tcPr>
            <w:tcW w:w="1087" w:type="dxa"/>
          </w:tcPr>
          <w:p w14:paraId="25ECCFD6" w14:textId="55D5A5A9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2.62 </w:t>
            </w:r>
          </w:p>
        </w:tc>
        <w:tc>
          <w:tcPr>
            <w:tcW w:w="1322" w:type="dxa"/>
            <w:shd w:val="clear" w:color="auto" w:fill="auto"/>
          </w:tcPr>
          <w:p w14:paraId="08EE0722" w14:textId="613C86E9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7.95 </w:t>
            </w:r>
          </w:p>
        </w:tc>
      </w:tr>
      <w:tr w:rsidR="00D303DE" w:rsidRPr="00D303DE" w14:paraId="01F5BAC8" w14:textId="77777777" w:rsidTr="00D303DE">
        <w:trPr>
          <w:jc w:val="center"/>
        </w:trPr>
        <w:tc>
          <w:tcPr>
            <w:tcW w:w="863" w:type="dxa"/>
            <w:vMerge/>
            <w:vAlign w:val="center"/>
          </w:tcPr>
          <w:p w14:paraId="0B721917" w14:textId="77777777" w:rsidR="00D303DE" w:rsidRPr="00D303DE" w:rsidRDefault="00D303DE" w:rsidP="00D303DE">
            <w:pPr>
              <w:widowControl/>
              <w:ind w:firstLine="420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5" w:type="dxa"/>
            <w:vAlign w:val="center"/>
          </w:tcPr>
          <w:p w14:paraId="33392D0C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G13</w:t>
            </w:r>
          </w:p>
        </w:tc>
        <w:tc>
          <w:tcPr>
            <w:tcW w:w="1470" w:type="dxa"/>
          </w:tcPr>
          <w:p w14:paraId="3381E6D9" w14:textId="15D68A28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17.87 </w:t>
            </w:r>
          </w:p>
        </w:tc>
        <w:tc>
          <w:tcPr>
            <w:tcW w:w="1365" w:type="dxa"/>
          </w:tcPr>
          <w:p w14:paraId="1981E33C" w14:textId="393E83E1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2.76 </w:t>
            </w:r>
          </w:p>
        </w:tc>
        <w:tc>
          <w:tcPr>
            <w:tcW w:w="1260" w:type="dxa"/>
            <w:shd w:val="clear" w:color="auto" w:fill="auto"/>
          </w:tcPr>
          <w:p w14:paraId="26F72474" w14:textId="3848DF7E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20.62 </w:t>
            </w:r>
          </w:p>
        </w:tc>
        <w:tc>
          <w:tcPr>
            <w:tcW w:w="1087" w:type="dxa"/>
          </w:tcPr>
          <w:p w14:paraId="723E3DB2" w14:textId="0A1960C8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2.25 </w:t>
            </w:r>
          </w:p>
        </w:tc>
        <w:tc>
          <w:tcPr>
            <w:tcW w:w="1322" w:type="dxa"/>
            <w:shd w:val="clear" w:color="auto" w:fill="auto"/>
          </w:tcPr>
          <w:p w14:paraId="58D1C169" w14:textId="1737996D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9.17 </w:t>
            </w:r>
          </w:p>
        </w:tc>
      </w:tr>
      <w:tr w:rsidR="00D303DE" w:rsidRPr="00D303DE" w14:paraId="56A5D56E" w14:textId="77777777" w:rsidTr="00D303DE">
        <w:trPr>
          <w:jc w:val="center"/>
        </w:trPr>
        <w:tc>
          <w:tcPr>
            <w:tcW w:w="863" w:type="dxa"/>
            <w:vMerge/>
            <w:vAlign w:val="center"/>
          </w:tcPr>
          <w:p w14:paraId="4B0B31C5" w14:textId="77777777" w:rsidR="00D303DE" w:rsidRPr="00D303DE" w:rsidRDefault="00D303DE" w:rsidP="00D303DE">
            <w:pPr>
              <w:widowControl/>
              <w:ind w:firstLine="420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5" w:type="dxa"/>
            <w:vAlign w:val="center"/>
          </w:tcPr>
          <w:p w14:paraId="0781255E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G20</w:t>
            </w:r>
          </w:p>
        </w:tc>
        <w:tc>
          <w:tcPr>
            <w:tcW w:w="1470" w:type="dxa"/>
          </w:tcPr>
          <w:p w14:paraId="0083469E" w14:textId="322389DA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15.81 </w:t>
            </w:r>
          </w:p>
        </w:tc>
        <w:tc>
          <w:tcPr>
            <w:tcW w:w="1365" w:type="dxa"/>
          </w:tcPr>
          <w:p w14:paraId="4738C91B" w14:textId="09F17485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2.83 </w:t>
            </w:r>
          </w:p>
        </w:tc>
        <w:tc>
          <w:tcPr>
            <w:tcW w:w="1260" w:type="dxa"/>
            <w:shd w:val="clear" w:color="auto" w:fill="auto"/>
          </w:tcPr>
          <w:p w14:paraId="6887E301" w14:textId="6A54D7BA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18.64 </w:t>
            </w:r>
          </w:p>
        </w:tc>
        <w:tc>
          <w:tcPr>
            <w:tcW w:w="1087" w:type="dxa"/>
          </w:tcPr>
          <w:p w14:paraId="401C8CA2" w14:textId="10DD21F8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2.17 </w:t>
            </w:r>
          </w:p>
        </w:tc>
        <w:tc>
          <w:tcPr>
            <w:tcW w:w="1322" w:type="dxa"/>
            <w:shd w:val="clear" w:color="auto" w:fill="auto"/>
          </w:tcPr>
          <w:p w14:paraId="224BF294" w14:textId="026E54AE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8.61 </w:t>
            </w:r>
          </w:p>
        </w:tc>
      </w:tr>
    </w:tbl>
    <w:p w14:paraId="3747EDC3" w14:textId="41A164FA" w:rsidR="009117E7" w:rsidRDefault="009117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</w:t>
      </w:r>
      <w:proofErr w:type="gramStart"/>
      <w:r>
        <w:rPr>
          <w:rFonts w:ascii="宋体" w:eastAsia="宋体" w:hAnsi="宋体" w:hint="eastAsia"/>
        </w:rPr>
        <w:t>后验差比值</w:t>
      </w:r>
      <w:proofErr w:type="gramEnd"/>
      <w:r>
        <w:rPr>
          <w:rFonts w:ascii="宋体" w:eastAsia="宋体" w:hAnsi="宋体" w:hint="eastAsia"/>
        </w:rPr>
        <w:t>可以评价灰度预测模型精度的好坏，其对应关系见表，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2977"/>
      </w:tblGrid>
      <w:tr w:rsidR="009117E7" w14:paraId="2ACC27E3" w14:textId="77777777" w:rsidTr="005A678B">
        <w:tc>
          <w:tcPr>
            <w:tcW w:w="3114" w:type="dxa"/>
          </w:tcPr>
          <w:p w14:paraId="4FA02863" w14:textId="6A7F39EF" w:rsidR="009117E7" w:rsidRDefault="009117E7">
            <w:pPr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后验差比值</w:t>
            </w:r>
            <w:proofErr w:type="gramEnd"/>
          </w:p>
        </w:tc>
        <w:tc>
          <w:tcPr>
            <w:tcW w:w="2977" w:type="dxa"/>
          </w:tcPr>
          <w:p w14:paraId="4E3A39E7" w14:textId="48C37A83" w:rsidR="009117E7" w:rsidRDefault="009117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模型精度</w:t>
            </w:r>
          </w:p>
        </w:tc>
      </w:tr>
      <w:tr w:rsidR="009117E7" w14:paraId="54A74E35" w14:textId="77777777" w:rsidTr="005A678B">
        <w:tc>
          <w:tcPr>
            <w:tcW w:w="3114" w:type="dxa"/>
          </w:tcPr>
          <w:p w14:paraId="7523088D" w14:textId="552A441F" w:rsidR="009117E7" w:rsidRDefault="009117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≤</w:t>
            </w:r>
            <w:r w:rsidRPr="009117E7">
              <w:rPr>
                <w:rFonts w:ascii="宋体" w:eastAsia="宋体" w:hAnsi="宋体"/>
              </w:rPr>
              <w:t>0.35</w:t>
            </w:r>
          </w:p>
        </w:tc>
        <w:tc>
          <w:tcPr>
            <w:tcW w:w="2977" w:type="dxa"/>
          </w:tcPr>
          <w:p w14:paraId="5C0C084D" w14:textId="59D694F8" w:rsidR="009117E7" w:rsidRDefault="009117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好</w:t>
            </w:r>
          </w:p>
        </w:tc>
      </w:tr>
      <w:tr w:rsidR="009117E7" w14:paraId="56A63D26" w14:textId="77777777" w:rsidTr="005A678B">
        <w:tc>
          <w:tcPr>
            <w:tcW w:w="3114" w:type="dxa"/>
          </w:tcPr>
          <w:p w14:paraId="31703819" w14:textId="43F684E2" w:rsidR="009117E7" w:rsidRDefault="009117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≤</w:t>
            </w:r>
            <w:r w:rsidRPr="009117E7">
              <w:rPr>
                <w:rFonts w:ascii="宋体" w:eastAsia="宋体" w:hAnsi="宋体"/>
              </w:rPr>
              <w:t>0.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2977" w:type="dxa"/>
          </w:tcPr>
          <w:p w14:paraId="3924DFB0" w14:textId="181DCC22" w:rsidR="009117E7" w:rsidRDefault="009117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合格</w:t>
            </w:r>
          </w:p>
        </w:tc>
      </w:tr>
      <w:tr w:rsidR="009117E7" w14:paraId="636A7480" w14:textId="77777777" w:rsidTr="005A678B">
        <w:tc>
          <w:tcPr>
            <w:tcW w:w="3114" w:type="dxa"/>
          </w:tcPr>
          <w:p w14:paraId="4284CF51" w14:textId="1DC98052" w:rsidR="009117E7" w:rsidRDefault="009117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≤</w:t>
            </w:r>
            <w:r w:rsidRPr="009117E7">
              <w:rPr>
                <w:rFonts w:ascii="宋体" w:eastAsia="宋体" w:hAnsi="宋体"/>
              </w:rPr>
              <w:t>0.</w:t>
            </w:r>
            <w:r>
              <w:rPr>
                <w:rFonts w:ascii="宋体" w:eastAsia="宋体" w:hAnsi="宋体"/>
              </w:rPr>
              <w:t>6</w:t>
            </w:r>
            <w:r w:rsidRPr="009117E7">
              <w:rPr>
                <w:rFonts w:ascii="宋体" w:eastAsia="宋体" w:hAnsi="宋体"/>
              </w:rPr>
              <w:t>5</w:t>
            </w:r>
          </w:p>
        </w:tc>
        <w:tc>
          <w:tcPr>
            <w:tcW w:w="2977" w:type="dxa"/>
          </w:tcPr>
          <w:p w14:paraId="7C124192" w14:textId="4A2CE641" w:rsidR="009117E7" w:rsidRDefault="009117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勉强</w:t>
            </w:r>
          </w:p>
        </w:tc>
      </w:tr>
      <w:tr w:rsidR="009117E7" w14:paraId="3081D258" w14:textId="77777777" w:rsidTr="005A678B">
        <w:tc>
          <w:tcPr>
            <w:tcW w:w="3114" w:type="dxa"/>
          </w:tcPr>
          <w:p w14:paraId="06043316" w14:textId="6F35DDE6" w:rsidR="009117E7" w:rsidRDefault="009117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＞0.</w:t>
            </w:r>
            <w:r>
              <w:rPr>
                <w:rFonts w:ascii="宋体" w:eastAsia="宋体" w:hAnsi="宋体"/>
              </w:rPr>
              <w:t>65</w:t>
            </w:r>
          </w:p>
        </w:tc>
        <w:tc>
          <w:tcPr>
            <w:tcW w:w="2977" w:type="dxa"/>
          </w:tcPr>
          <w:p w14:paraId="6A288BA3" w14:textId="378A2467" w:rsidR="009117E7" w:rsidRDefault="009117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不合格</w:t>
            </w:r>
          </w:p>
        </w:tc>
      </w:tr>
    </w:tbl>
    <w:p w14:paraId="0909CC5E" w14:textId="77777777" w:rsidR="009117E7" w:rsidRDefault="009117E7">
      <w:pPr>
        <w:rPr>
          <w:rFonts w:ascii="宋体" w:eastAsia="宋体" w:hAnsi="宋体"/>
        </w:rPr>
      </w:pPr>
    </w:p>
    <w:p w14:paraId="44D2E9AD" w14:textId="10EBC72A" w:rsidR="000123AB" w:rsidRDefault="009117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 展示了灰度预测模型中</w:t>
      </w:r>
      <w:proofErr w:type="gramStart"/>
      <w:r>
        <w:rPr>
          <w:rFonts w:ascii="宋体" w:eastAsia="宋体" w:hAnsi="宋体" w:hint="eastAsia"/>
        </w:rPr>
        <w:t>各结果</w:t>
      </w:r>
      <w:proofErr w:type="gramEnd"/>
      <w:r>
        <w:rPr>
          <w:rFonts w:ascii="宋体" w:eastAsia="宋体" w:hAnsi="宋体" w:hint="eastAsia"/>
        </w:rPr>
        <w:t>的</w:t>
      </w:r>
      <w:proofErr w:type="gramStart"/>
      <w:r>
        <w:rPr>
          <w:rFonts w:ascii="宋体" w:eastAsia="宋体" w:hAnsi="宋体" w:hint="eastAsia"/>
        </w:rPr>
        <w:t>后验差比值</w:t>
      </w:r>
      <w:proofErr w:type="gramEnd"/>
      <w:r>
        <w:rPr>
          <w:rFonts w:ascii="宋体" w:eastAsia="宋体" w:hAnsi="宋体" w:hint="eastAsia"/>
        </w:rPr>
        <w:t>情况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可见，绝大部分的</w:t>
      </w:r>
      <w:proofErr w:type="gramStart"/>
      <w:r>
        <w:rPr>
          <w:rFonts w:ascii="宋体" w:eastAsia="宋体" w:hAnsi="宋体" w:hint="eastAsia"/>
        </w:rPr>
        <w:t>后验差比值</w:t>
      </w:r>
      <w:proofErr w:type="gramEnd"/>
      <w:r>
        <w:rPr>
          <w:rFonts w:ascii="宋体" w:eastAsia="宋体" w:hAnsi="宋体" w:hint="eastAsia"/>
        </w:rPr>
        <w:t>落在模型精度为好的区间内，只有极</w:t>
      </w:r>
      <w:proofErr w:type="gramStart"/>
      <w:r>
        <w:rPr>
          <w:rFonts w:ascii="宋体" w:eastAsia="宋体" w:hAnsi="宋体" w:hint="eastAsia"/>
        </w:rPr>
        <w:t>少数后验差</w:t>
      </w:r>
      <w:proofErr w:type="gramEnd"/>
      <w:r>
        <w:rPr>
          <w:rFonts w:ascii="宋体" w:eastAsia="宋体" w:hAnsi="宋体" w:hint="eastAsia"/>
        </w:rPr>
        <w:t>比值不合格。</w:t>
      </w:r>
    </w:p>
    <w:p w14:paraId="60716A30" w14:textId="47EF577B" w:rsidR="009117E7" w:rsidRPr="00E62C69" w:rsidRDefault="009117E7">
      <w:pPr>
        <w:rPr>
          <w:rFonts w:ascii="宋体" w:eastAsia="宋体" w:hAnsi="宋体" w:hint="eastAsia"/>
        </w:rPr>
      </w:pPr>
      <w:r>
        <w:rPr>
          <w:rFonts w:hint="eastAsia"/>
          <w:noProof/>
        </w:rPr>
        <w:drawing>
          <wp:inline distT="0" distB="0" distL="0" distR="0" wp14:anchorId="275552D7" wp14:editId="6CB8713C">
            <wp:extent cx="3766457" cy="2888111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82" cy="288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7E7" w:rsidRPr="00E62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F155B" w14:textId="77777777" w:rsidR="00C12618" w:rsidRDefault="00C12618" w:rsidP="00622667">
      <w:r>
        <w:separator/>
      </w:r>
    </w:p>
  </w:endnote>
  <w:endnote w:type="continuationSeparator" w:id="0">
    <w:p w14:paraId="3FCB0A27" w14:textId="77777777" w:rsidR="00C12618" w:rsidRDefault="00C12618" w:rsidP="00622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50D46" w14:textId="77777777" w:rsidR="00C12618" w:rsidRDefault="00C12618" w:rsidP="00622667">
      <w:r>
        <w:separator/>
      </w:r>
    </w:p>
  </w:footnote>
  <w:footnote w:type="continuationSeparator" w:id="0">
    <w:p w14:paraId="6B756158" w14:textId="77777777" w:rsidR="00C12618" w:rsidRDefault="00C12618" w:rsidP="006226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11"/>
    <w:rsid w:val="000123AB"/>
    <w:rsid w:val="00273B26"/>
    <w:rsid w:val="00523471"/>
    <w:rsid w:val="005A4BF7"/>
    <w:rsid w:val="005A678B"/>
    <w:rsid w:val="00622667"/>
    <w:rsid w:val="006641A1"/>
    <w:rsid w:val="0069355C"/>
    <w:rsid w:val="006A528C"/>
    <w:rsid w:val="006B0C4A"/>
    <w:rsid w:val="008D6CBB"/>
    <w:rsid w:val="008E70F1"/>
    <w:rsid w:val="009117E7"/>
    <w:rsid w:val="00AD4512"/>
    <w:rsid w:val="00B16681"/>
    <w:rsid w:val="00C12618"/>
    <w:rsid w:val="00D303DE"/>
    <w:rsid w:val="00D9195C"/>
    <w:rsid w:val="00DD759F"/>
    <w:rsid w:val="00DF0E11"/>
    <w:rsid w:val="00E32AF5"/>
    <w:rsid w:val="00E62C69"/>
    <w:rsid w:val="00F350D0"/>
    <w:rsid w:val="00FE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326C9"/>
  <w15:chartTrackingRefBased/>
  <w15:docId w15:val="{F0D691D7-D8E6-464F-B9B1-0F865D9B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26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2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266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0123A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123AB"/>
  </w:style>
  <w:style w:type="table" w:styleId="a9">
    <w:name w:val="Table Grid"/>
    <w:basedOn w:val="a1"/>
    <w:uiPriority w:val="39"/>
    <w:rsid w:val="00911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jzd</dc:creator>
  <cp:keywords/>
  <dc:description/>
  <cp:lastModifiedBy>jzd</cp:lastModifiedBy>
  <cp:revision>5</cp:revision>
  <dcterms:created xsi:type="dcterms:W3CDTF">2022-10-08T10:56:00Z</dcterms:created>
  <dcterms:modified xsi:type="dcterms:W3CDTF">2022-10-09T09:51:00Z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