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E2E26"/>
        </w:rPr>
        <w:t xml:space="preserve">Chi siamo</w:t>
      </w:r>
    </w:p>
    <w:p>
      <w:r>
        <w:rPr>
          <w:i/>
          <w:iCs/>
          <w:color w:val="666666"/>
          <w:sz w:val="20"/>
          <w:szCs w:val="20"/>
        </w:rPr>
        <w:t xml:space="preserve">Pagina: /de/chi-siamo</w:t>
      </w:r>
    </w:p>
    <w:p>
      <w:r>
        <w:rPr>
          <w:color w:val="666666"/>
          <w:sz w:val="20"/>
          <w:szCs w:val="20"/>
        </w:rPr>
        <w:t xml:space="preserve">Revisione terminologica: Brunella Bonapace. La terminologia chiave e gli esonimi delle valli sono gia validati; correzioni nella colonna DE.</w:t>
      </w:r>
    </w:p>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1E2E26"/>
            <w:tcMar>
              <w:top w:type="dxa" w:w="80"/>
              <w:left w:type="dxa" w:w="120"/>
              <w:bottom w:type="dxa" w:w="80"/>
              <w:right w:type="dxa" w:w="120"/>
            </w:tcMar>
          </w:tcPr>
          <w:p>
            <w:r>
              <w:rPr>
                <w:b/>
                <w:bCs/>
                <w:color w:val="F5EEDD"/>
                <w:sz w:val="22"/>
                <w:szCs w:val="22"/>
              </w:rPr>
              <w:t xml:space="preserve">Italiano (fonte)</w:t>
            </w:r>
          </w:p>
        </w:tc>
        <w:tc>
          <w:tcPr>
            <w:tcW w:type="pct" w:w="50%"/>
            <w:shd w:fill="1E2E26"/>
            <w:tcMar>
              <w:top w:type="dxa" w:w="80"/>
              <w:left w:type="dxa" w:w="120"/>
              <w:bottom w:type="dxa" w:w="80"/>
              <w:right w:type="dxa" w:w="120"/>
            </w:tcMar>
          </w:tcPr>
          <w:p>
            <w:r>
              <w:rPr>
                <w:b/>
                <w:bCs/>
                <w:color w:val="F5EEDD"/>
                <w:sz w:val="22"/>
                <w:szCs w:val="22"/>
              </w:rPr>
              <w:t xml:space="preserve">Deutsch (bozza Claude, da rivedere)</w:t>
            </w:r>
          </w:p>
        </w:tc>
      </w:tr>
      <w:tr>
        <w:tc>
          <w:tcPr>
            <w:tcW w:type="pct" w:w="50%"/>
            <w:tcMar>
              <w:top w:type="dxa" w:w="80"/>
              <w:left w:type="dxa" w:w="120"/>
              <w:bottom w:type="dxa" w:w="80"/>
              <w:right w:type="dxa" w:w="120"/>
            </w:tcMar>
          </w:tcPr>
          <w:p>
            <w:r>
              <w:rPr>
                <w:b w:val="false"/>
                <w:bCs w:val="false"/>
                <w:color w:val="000000"/>
                <w:sz w:val="21"/>
                <w:szCs w:val="21"/>
              </w:rPr>
              <w:t xml:space="preserve">Chi siamo · El Brenz</w:t>
            </w:r>
          </w:p>
        </w:tc>
        <w:tc>
          <w:tcPr>
            <w:tcW w:type="pct" w:w="50%"/>
            <w:tcMar>
              <w:top w:type="dxa" w:w="80"/>
              <w:left w:type="dxa" w:w="120"/>
              <w:bottom w:type="dxa" w:w="80"/>
              <w:right w:type="dxa" w:w="120"/>
            </w:tcMar>
          </w:tcPr>
          <w:p>
            <w:r>
              <w:rPr>
                <w:b w:val="false"/>
                <w:bCs w:val="false"/>
                <w:color w:val="000000"/>
                <w:sz w:val="21"/>
                <w:szCs w:val="21"/>
              </w:rPr>
              <w:t xml:space="preserve">Wer wir sind · El Brenz</w:t>
            </w:r>
          </w:p>
        </w:tc>
      </w:tr>
      <w:tr>
        <w:tc>
          <w:tcPr>
            <w:tcW w:type="pct" w:w="50%"/>
            <w:tcMar>
              <w:top w:type="dxa" w:w="80"/>
              <w:left w:type="dxa" w:w="120"/>
              <w:bottom w:type="dxa" w:w="80"/>
              <w:right w:type="dxa" w:w="120"/>
            </w:tcMar>
          </w:tcPr>
          <w:p>
            <w:r>
              <w:rPr>
                <w:b w:val="false"/>
                <w:bCs w:val="false"/>
                <w:color w:val="000000"/>
                <w:sz w:val="21"/>
                <w:szCs w:val="21"/>
              </w:rPr>
              <w:t xml:space="preserve">L'Associazione Storico Culturale Linguistica El Brenz, fondata il 21 dicembre 2009: progetti, collaborazioni e iniziative per la storia e la lingua delle Valli del Noce.</w:t>
            </w:r>
          </w:p>
        </w:tc>
        <w:tc>
          <w:tcPr>
            <w:tcW w:type="pct" w:w="50%"/>
            <w:tcMar>
              <w:top w:type="dxa" w:w="80"/>
              <w:left w:type="dxa" w:w="120"/>
              <w:bottom w:type="dxa" w:w="80"/>
              <w:right w:type="dxa" w:w="120"/>
            </w:tcMar>
          </w:tcPr>
          <w:p>
            <w:r>
              <w:rPr>
                <w:b w:val="false"/>
                <w:bCs w:val="false"/>
                <w:color w:val="000000"/>
                <w:sz w:val="21"/>
                <w:szCs w:val="21"/>
              </w:rPr>
              <w:t xml:space="preserve">Der geschichtlich-kulturelle und sprachwissenschaftliche Verein El Brenz, gegründet am 21. Dezember 2009: Projekte, Partnerschaften und Initiativen für die Geschichte und die Sprache der Täler des Noce.</w:t>
            </w:r>
          </w:p>
        </w:tc>
      </w:tr>
      <w:tr>
        <w:tc>
          <w:tcPr>
            <w:tcW w:type="pct" w:w="50%"/>
            <w:tcMar>
              <w:top w:type="dxa" w:w="80"/>
              <w:left w:type="dxa" w:w="120"/>
              <w:bottom w:type="dxa" w:w="80"/>
              <w:right w:type="dxa" w:w="120"/>
            </w:tcMar>
          </w:tcPr>
          <w:p>
            <w:r>
              <w:rPr>
                <w:b w:val="false"/>
                <w:bCs w:val="false"/>
                <w:color w:val="000000"/>
                <w:sz w:val="21"/>
                <w:szCs w:val="21"/>
              </w:rPr>
              <w:t xml:space="preserve">L'Associazione</w:t>
            </w:r>
          </w:p>
        </w:tc>
        <w:tc>
          <w:tcPr>
            <w:tcW w:type="pct" w:w="50%"/>
            <w:tcMar>
              <w:top w:type="dxa" w:w="80"/>
              <w:left w:type="dxa" w:w="120"/>
              <w:bottom w:type="dxa" w:w="80"/>
              <w:right w:type="dxa" w:w="120"/>
            </w:tcMar>
          </w:tcPr>
          <w:p>
            <w:r>
              <w:rPr>
                <w:b w:val="false"/>
                <w:bCs w:val="false"/>
                <w:color w:val="000000"/>
                <w:sz w:val="21"/>
                <w:szCs w:val="21"/>
              </w:rPr>
              <w:t xml:space="preserve">Der Verein</w:t>
            </w:r>
          </w:p>
        </w:tc>
      </w:tr>
      <w:tr>
        <w:tc>
          <w:tcPr>
            <w:tcW w:type="pct" w:w="50%"/>
            <w:tcMar>
              <w:top w:type="dxa" w:w="80"/>
              <w:left w:type="dxa" w:w="120"/>
              <w:bottom w:type="dxa" w:w="80"/>
              <w:right w:type="dxa" w:w="120"/>
            </w:tcMar>
          </w:tcPr>
          <w:p>
            <w:r>
              <w:rPr>
                <w:b w:val="false"/>
                <w:bCs w:val="false"/>
                <w:color w:val="000000"/>
                <w:sz w:val="21"/>
                <w:szCs w:val="21"/>
              </w:rPr>
              <w:t xml:space="preserve">Chi siamo</w:t>
            </w:r>
          </w:p>
        </w:tc>
        <w:tc>
          <w:tcPr>
            <w:tcW w:type="pct" w:w="50%"/>
            <w:tcMar>
              <w:top w:type="dxa" w:w="80"/>
              <w:left w:type="dxa" w:w="120"/>
              <w:bottom w:type="dxa" w:w="80"/>
              <w:right w:type="dxa" w:w="120"/>
            </w:tcMar>
          </w:tcPr>
          <w:p>
            <w:r>
              <w:rPr>
                <w:b w:val="false"/>
                <w:bCs w:val="false"/>
                <w:color w:val="000000"/>
                <w:sz w:val="21"/>
                <w:szCs w:val="21"/>
              </w:rPr>
              <w:t xml:space="preserve">Wer wir sind</w:t>
            </w:r>
          </w:p>
        </w:tc>
      </w:tr>
      <w:tr>
        <w:tc>
          <w:tcPr>
            <w:tcW w:type="pct" w:w="50%"/>
            <w:tcMar>
              <w:top w:type="dxa" w:w="80"/>
              <w:left w:type="dxa" w:w="120"/>
              <w:bottom w:type="dxa" w:w="80"/>
              <w:right w:type="dxa" w:w="120"/>
            </w:tcMar>
          </w:tcPr>
          <w:p>
            <w:r>
              <w:rPr>
                <w:b w:val="false"/>
                <w:bCs w:val="false"/>
                <w:color w:val="000000"/>
                <w:sz w:val="21"/>
                <w:szCs w:val="21"/>
              </w:rPr>
              <w:t xml:space="preserve">Un'epica avventura nel cuore delle Valli del Noce: dal 2009 custodiamo la storia, la lingua e le tradizioni delle nostre valli.</w:t>
            </w:r>
          </w:p>
        </w:tc>
        <w:tc>
          <w:tcPr>
            <w:tcW w:type="pct" w:w="50%"/>
            <w:tcMar>
              <w:top w:type="dxa" w:w="80"/>
              <w:left w:type="dxa" w:w="120"/>
              <w:bottom w:type="dxa" w:w="80"/>
              <w:right w:type="dxa" w:w="120"/>
            </w:tcMar>
          </w:tcPr>
          <w:p>
            <w:r>
              <w:rPr>
                <w:b w:val="false"/>
                <w:bCs w:val="false"/>
                <w:color w:val="000000"/>
                <w:sz w:val="21"/>
                <w:szCs w:val="21"/>
              </w:rPr>
              <w:t xml:space="preserve">Ein großes Abenteuer im Herzen der Täler des Noce: Seit 2009 hüten wir die Geschichte, die Sprache und die Traditionen unserer Täler.</w:t>
            </w:r>
          </w:p>
        </w:tc>
      </w:tr>
      <w:tr>
        <w:tc>
          <w:tcPr>
            <w:tcW w:type="pct" w:w="50%"/>
            <w:tcMar>
              <w:top w:type="dxa" w:w="80"/>
              <w:left w:type="dxa" w:w="120"/>
              <w:bottom w:type="dxa" w:w="80"/>
              <w:right w:type="dxa" w:w="120"/>
            </w:tcMar>
          </w:tcPr>
          <w:p>
            <w:r>
              <w:rPr>
                <w:b w:val="false"/>
                <w:bCs w:val="false"/>
                <w:color w:val="000000"/>
                <w:sz w:val="21"/>
                <w:szCs w:val="21"/>
              </w:rPr>
              <w:t xml:space="preserve">Benvenuti! Non siete qui per caso, ma siete stati attirati dal richiamo di un'associazione che da oltre un decennio lavora instancabilmente per preservare un patrimonio culturale inestimabile. L'Associazione Storico Culturale Linguistica «El Brenz», fondata il 21 dicembre 2009, non è solo una realtà del territorio, ma un vero e proprio motore di iniziative, progetti e collaborazioni che hanno segnato la vita delle Valli del Noce. Il nostro impegno si traduce in azioni concrete, capaci di dare nuova vita alla storia, alla lingua e alle tradizioni locali.</w:t>
            </w:r>
          </w:p>
        </w:tc>
        <w:tc>
          <w:tcPr>
            <w:tcW w:type="pct" w:w="50%"/>
            <w:tcMar>
              <w:top w:type="dxa" w:w="80"/>
              <w:left w:type="dxa" w:w="120"/>
              <w:bottom w:type="dxa" w:w="80"/>
              <w:right w:type="dxa" w:w="120"/>
            </w:tcMar>
          </w:tcPr>
          <w:p>
            <w:r>
              <w:rPr>
                <w:b w:val="false"/>
                <w:bCs w:val="false"/>
                <w:color w:val="000000"/>
                <w:sz w:val="21"/>
                <w:szCs w:val="21"/>
              </w:rPr>
              <w:t xml:space="preserve">Herzlich willkommen! Ihr seid nicht zufällig hier, sondern dem Ruf eines Vereins gefolgt, der seit über einem Jahrzehnt unermüdlich daran arbeitet, ein unschätzbares kulturelles Erbe zu bewahren. Der geschichtlich-kulturelle und sprachwissenschaftliche Verein «El Brenz», gegründet am 21. Dezember 2009, ist weit mehr als eine Einrichtung vor Ort: Er ist ein wahrer Motor für Initiativen, Projekte und Partnerschaften, die das Leben in den Tälern des Noce geprägt haben. Unser Engagement zeigt sich in konkreten Taten, die der Geschichte, der Sprache und den örtlichen Traditionen neues Leben einhauchen.</w:t>
            </w:r>
          </w:p>
        </w:tc>
      </w:tr>
      <w:tr>
        <w:tc>
          <w:tcPr>
            <w:tcW w:type="pct" w:w="50%"/>
            <w:tcMar>
              <w:top w:type="dxa" w:w="80"/>
              <w:left w:type="dxa" w:w="120"/>
              <w:bottom w:type="dxa" w:w="80"/>
              <w:right w:type="dxa" w:w="120"/>
            </w:tcMar>
          </w:tcPr>
          <w:p>
            <w:r>
              <w:rPr>
                <w:b w:val="false"/>
                <w:bCs w:val="false"/>
                <w:color w:val="000000"/>
                <w:sz w:val="21"/>
                <w:szCs w:val="21"/>
              </w:rPr>
              <w:t xml:space="preserve">L'impegno per la cultura e la lingua: progetti che lasciano il segno</w:t>
            </w:r>
          </w:p>
        </w:tc>
        <w:tc>
          <w:tcPr>
            <w:tcW w:type="pct" w:w="50%"/>
            <w:tcMar>
              <w:top w:type="dxa" w:w="80"/>
              <w:left w:type="dxa" w:w="120"/>
              <w:bottom w:type="dxa" w:w="80"/>
              <w:right w:type="dxa" w:w="120"/>
            </w:tcMar>
          </w:tcPr>
          <w:p>
            <w:r>
              <w:rPr>
                <w:b w:val="false"/>
                <w:bCs w:val="false"/>
                <w:color w:val="000000"/>
                <w:sz w:val="21"/>
                <w:szCs w:val="21"/>
              </w:rPr>
              <w:t xml:space="preserve">Einsatz für Kultur und Sprache: Projekte, die Spuren hinterlassen</w:t>
            </w:r>
          </w:p>
        </w:tc>
      </w:tr>
      <w:tr>
        <w:tc>
          <w:tcPr>
            <w:tcW w:type="pct" w:w="50%"/>
            <w:tcMar>
              <w:top w:type="dxa" w:w="80"/>
              <w:left w:type="dxa" w:w="120"/>
              <w:bottom w:type="dxa" w:w="80"/>
              <w:right w:type="dxa" w:w="120"/>
            </w:tcMar>
          </w:tcPr>
          <w:p>
            <w:r>
              <w:rPr>
                <w:b w:val="false"/>
                <w:bCs w:val="false"/>
                <w:color w:val="000000"/>
                <w:sz w:val="21"/>
                <w:szCs w:val="21"/>
              </w:rPr>
              <w:t xml:space="preserve">Le voci del passato, la poesia del presente. Abbiamo dato voce alle parlate retoromanze con il concorso poetico e musicale «Os dal Nos». Fin dalla sua prima edizione nel 2014, ha stimolato artisti e poeti a creare componimenti in ladino anaunico, unendo le diverse varianti linguistiche di Non, Sole, Rabbi e Pejo. Un vero e proprio inno alla bellezza e all'identità delle nostre parole.</w:t>
            </w:r>
          </w:p>
        </w:tc>
        <w:tc>
          <w:tcPr>
            <w:tcW w:type="pct" w:w="50%"/>
            <w:tcMar>
              <w:top w:type="dxa" w:w="80"/>
              <w:left w:type="dxa" w:w="120"/>
              <w:bottom w:type="dxa" w:w="80"/>
              <w:right w:type="dxa" w:w="120"/>
            </w:tcMar>
          </w:tcPr>
          <w:p>
            <w:r>
              <w:rPr>
                <w:b w:val="false"/>
                <w:bCs w:val="false"/>
                <w:color w:val="000000"/>
                <w:sz w:val="21"/>
                <w:szCs w:val="21"/>
              </w:rPr>
              <w:t xml:space="preserve">Die Stimmen der Vergangenheit, die Dichtung der Gegenwart. Mit dem Poesie- und Musikwettbewerb «Os dal Nos» (unsere Stimmen) haben wir den rätoromanischen Sprachen Gehör verschafft. Schon seit der ersten Ausgabe 2014 regt er Künstlerinnen und Dichter dazu an, Werke im Anaunischen Ladinisch zu schaffen und dabei die verschiedenen Sprachvarianten von Nonsberg, Sulzberg, Rabbital und Pejotal zusammenzuführen. Eine wahre Hymne an die Schönheit und die Identität unserer Worte.</w:t>
            </w:r>
          </w:p>
        </w:tc>
      </w:tr>
      <w:tr>
        <w:tc>
          <w:tcPr>
            <w:tcW w:type="pct" w:w="50%"/>
            <w:tcMar>
              <w:top w:type="dxa" w:w="80"/>
              <w:left w:type="dxa" w:w="120"/>
              <w:bottom w:type="dxa" w:w="80"/>
              <w:right w:type="dxa" w:w="120"/>
            </w:tcMar>
          </w:tcPr>
          <w:p>
            <w:r>
              <w:rPr>
                <w:b w:val="false"/>
                <w:bCs w:val="false"/>
                <w:color w:val="000000"/>
                <w:sz w:val="21"/>
                <w:szCs w:val="21"/>
              </w:rPr>
              <w:t xml:space="preserve">Il calendario che racconta la storia. Con il progetto «Lunari dal Nos» abbiamo trasformato un semplice calendario in un prezioso strumento di divulgazione. Ogni edizione, come quella del 2023 dedicata a «La nosa storia» e realizzata in collaborazione con un fumettista basco, esplora un tema specifico, rendendo la storia e la cultura locale accessibili e intriganti per le nuove generazioni, tanto da essere distribuito gratuitamente nelle scuole.</w:t>
            </w:r>
          </w:p>
        </w:tc>
        <w:tc>
          <w:tcPr>
            <w:tcW w:type="pct" w:w="50%"/>
            <w:tcMar>
              <w:top w:type="dxa" w:w="80"/>
              <w:left w:type="dxa" w:w="120"/>
              <w:bottom w:type="dxa" w:w="80"/>
              <w:right w:type="dxa" w:w="120"/>
            </w:tcMar>
          </w:tcPr>
          <w:p>
            <w:r>
              <w:rPr>
                <w:b w:val="false"/>
                <w:bCs w:val="false"/>
                <w:color w:val="000000"/>
                <w:sz w:val="21"/>
                <w:szCs w:val="21"/>
              </w:rPr>
              <w:t xml:space="preserve">Der Kalender, der Geschichte erzählt. Mit dem Projekt «Lunari dal Nos» (unsere Kalender) haben wir aus einem schlichten Kalender ein wertvolles Vermittlungswerkzeug gemacht. Jede Ausgabe widmet sich einem eigenen Thema und macht die Geschichte und Kultur der Region für die jungen Generationen zugänglich und spannend. Die Ausgabe von 2023 etwa, unter dem Titel «La nosa storia» (unsere Geschichte) und in Zusammenarbeit mit einem baskischen Comiczeichner entstanden, wurde sogar kostenlos an den Schulen verteilt.</w:t>
            </w:r>
          </w:p>
        </w:tc>
      </w:tr>
      <w:tr>
        <w:tc>
          <w:tcPr>
            <w:tcW w:type="pct" w:w="50%"/>
            <w:tcMar>
              <w:top w:type="dxa" w:w="80"/>
              <w:left w:type="dxa" w:w="120"/>
              <w:bottom w:type="dxa" w:w="80"/>
              <w:right w:type="dxa" w:w="120"/>
            </w:tcMar>
          </w:tcPr>
          <w:p>
            <w:r>
              <w:rPr>
                <w:b w:val="false"/>
                <w:bCs w:val="false"/>
                <w:color w:val="000000"/>
                <w:sz w:val="21"/>
                <w:szCs w:val="21"/>
              </w:rPr>
              <w:t xml:space="preserve">Il documentario che ti fa emozionare. Dopo oltre due anni di ricerca, abbiamo dato vita al documentario «Fiöi dal Nos», Ladinità nonesa e solandra, un viaggio profondo nella storia e nell'identità delle genti anauniche. Questo lavoro non è solo un film, ma un'eredità che abbiamo voluto rendere accessibile a tutti, pubblicandolo sul nostro canale YouTube per raggiungere chiunque voglia riscoprire le proprie radici.</w:t>
            </w:r>
          </w:p>
        </w:tc>
        <w:tc>
          <w:tcPr>
            <w:tcW w:type="pct" w:w="50%"/>
            <w:tcMar>
              <w:top w:type="dxa" w:w="80"/>
              <w:left w:type="dxa" w:w="120"/>
              <w:bottom w:type="dxa" w:w="80"/>
              <w:right w:type="dxa" w:w="120"/>
            </w:tcMar>
          </w:tcPr>
          <w:p>
            <w:r>
              <w:rPr>
                <w:b w:val="false"/>
                <w:bCs w:val="false"/>
                <w:color w:val="000000"/>
                <w:sz w:val="21"/>
                <w:szCs w:val="21"/>
              </w:rPr>
              <w:t xml:space="preserve">Der Dokumentarfilm, der zu Herzen geht. Nach über zwei Jahren Recherche haben wir den Dokumentarfilm «Fiöi dal Nos» (unsere Kinder), das Ladinertum von Nonsberg und Sulzberg, geschaffen, eine tiefe Reise in die Geschichte und die Identität der anaunischen Bevölkerung. Dieses Werk ist nicht nur ein Film, sondern ein Erbe, das wir allen zugänglich machen wollten: Wir haben es auf unserem YouTube-Kanal veröffentlicht, um alle zu erreichen, die ihre Wurzeln wiederentdecken möchten.</w:t>
            </w:r>
          </w:p>
        </w:tc>
      </w:tr>
      <w:tr>
        <w:tc>
          <w:tcPr>
            <w:tcW w:type="pct" w:w="50%"/>
            <w:tcMar>
              <w:top w:type="dxa" w:w="80"/>
              <w:left w:type="dxa" w:w="120"/>
              <w:bottom w:type="dxa" w:w="80"/>
              <w:right w:type="dxa" w:w="120"/>
            </w:tcMar>
          </w:tcPr>
          <w:p>
            <w:r>
              <w:rPr>
                <w:b w:val="false"/>
                <w:bCs w:val="false"/>
                <w:color w:val="000000"/>
                <w:sz w:val="21"/>
                <w:szCs w:val="21"/>
              </w:rPr>
              <w:t xml:space="preserve">Una rete di collaborazioni e riconoscimenti</w:t>
            </w:r>
          </w:p>
        </w:tc>
        <w:tc>
          <w:tcPr>
            <w:tcW w:type="pct" w:w="50%"/>
            <w:tcMar>
              <w:top w:type="dxa" w:w="80"/>
              <w:left w:type="dxa" w:w="120"/>
              <w:bottom w:type="dxa" w:w="80"/>
              <w:right w:type="dxa" w:w="120"/>
            </w:tcMar>
          </w:tcPr>
          <w:p>
            <w:r>
              <w:rPr>
                <w:b w:val="false"/>
                <w:bCs w:val="false"/>
                <w:color w:val="000000"/>
                <w:sz w:val="21"/>
                <w:szCs w:val="21"/>
              </w:rPr>
              <w:t xml:space="preserve">Ein Netz aus Partnerschaften und Anerkennung</w:t>
            </w:r>
          </w:p>
        </w:tc>
      </w:tr>
      <w:tr>
        <w:tc>
          <w:tcPr>
            <w:tcW w:type="pct" w:w="50%"/>
            <w:tcMar>
              <w:top w:type="dxa" w:w="80"/>
              <w:left w:type="dxa" w:w="120"/>
              <w:bottom w:type="dxa" w:w="80"/>
              <w:right w:type="dxa" w:w="120"/>
            </w:tcMar>
          </w:tcPr>
          <w:p>
            <w:r>
              <w:rPr>
                <w:b w:val="false"/>
                <w:bCs w:val="false"/>
                <w:color w:val="000000"/>
                <w:sz w:val="21"/>
                <w:szCs w:val="21"/>
              </w:rPr>
              <w:t xml:space="preserve">La nostra visione non si ferma alle valli. Abbiamo intessuto una fitta rete di collaborazioni che ci ha permesso di ottenere riconoscimenti e risalto anche a livello mediatico.</w:t>
            </w:r>
          </w:p>
        </w:tc>
        <w:tc>
          <w:tcPr>
            <w:tcW w:type="pct" w:w="50%"/>
            <w:tcMar>
              <w:top w:type="dxa" w:w="80"/>
              <w:left w:type="dxa" w:w="120"/>
              <w:bottom w:type="dxa" w:w="80"/>
              <w:right w:type="dxa" w:w="120"/>
            </w:tcMar>
          </w:tcPr>
          <w:p>
            <w:r>
              <w:rPr>
                <w:b w:val="false"/>
                <w:bCs w:val="false"/>
                <w:color w:val="000000"/>
                <w:sz w:val="21"/>
                <w:szCs w:val="21"/>
              </w:rPr>
              <w:t xml:space="preserve">Unsere Vision endet nicht an den Grenzen der Täler. Wir haben ein dichtes Netz an Partnerschaften geknüpft, das uns Anerkennung und Sichtbarkeit bis hin zu den Medien eingebracht hat.</w:t>
            </w:r>
          </w:p>
        </w:tc>
      </w:tr>
      <w:tr>
        <w:tc>
          <w:tcPr>
            <w:tcW w:type="pct" w:w="50%"/>
            <w:tcMar>
              <w:top w:type="dxa" w:w="80"/>
              <w:left w:type="dxa" w:w="120"/>
              <w:bottom w:type="dxa" w:w="80"/>
              <w:right w:type="dxa" w:w="120"/>
            </w:tcMar>
          </w:tcPr>
          <w:p>
            <w:r>
              <w:rPr>
                <w:b w:val="false"/>
                <w:bCs w:val="false"/>
                <w:color w:val="000000"/>
                <w:sz w:val="21"/>
                <w:szCs w:val="21"/>
              </w:rPr>
              <w:t xml:space="preserve">Oltre i confini, un ponte tra culture. Abbiamo creato un ponte con altre minoranze linguistiche europee, come i Catalani e gli Occitani, per scambiare esperienze e rafforzare l'idea che la difesa della propria identità è un valore che unisce, non divide. A livello locale collaboriamo attivamente con altre associazioni ed enti, come il Circolo «Al Filò» di Denno e l'Associazione «Rezia», per iniziative congiunte come serate storiche e presentazioni di libri, dimostrando che l'unione fa la forza.</w:t>
            </w:r>
          </w:p>
        </w:tc>
        <w:tc>
          <w:tcPr>
            <w:tcW w:type="pct" w:w="50%"/>
            <w:tcMar>
              <w:top w:type="dxa" w:w="80"/>
              <w:left w:type="dxa" w:w="120"/>
              <w:bottom w:type="dxa" w:w="80"/>
              <w:right w:type="dxa" w:w="120"/>
            </w:tcMar>
          </w:tcPr>
          <w:p>
            <w:r>
              <w:rPr>
                <w:b w:val="false"/>
                <w:bCs w:val="false"/>
                <w:color w:val="000000"/>
                <w:sz w:val="21"/>
                <w:szCs w:val="21"/>
              </w:rPr>
              <w:t xml:space="preserve">Über Grenzen hinweg, eine Brücke zwischen Kulturen. Wir haben eine Brücke zu anderen sprachlichen Minderheiten Europas geschlagen, etwa zu den Katalanen und den Okzitanen, um Erfahrungen auszutauschen und die Überzeugung zu stärken, dass der Schutz der eigenen Identität ein Wert ist, der verbindet und nicht trennt. Vor Ort arbeiten wir eng mit anderen Vereinen und Einrichtungen zusammen, etwa mit dem Circolo «Al Filò» aus Denno und dem Verein «Rezia», bei gemeinsamen Vorhaben wie geschichtlichen Abenden und Buchvorstellungen, denn gemeinsam ist man stärker.</w:t>
            </w:r>
          </w:p>
        </w:tc>
      </w:tr>
      <w:tr>
        <w:tc>
          <w:tcPr>
            <w:tcW w:type="pct" w:w="50%"/>
            <w:tcMar>
              <w:top w:type="dxa" w:w="80"/>
              <w:left w:type="dxa" w:w="120"/>
              <w:bottom w:type="dxa" w:w="80"/>
              <w:right w:type="dxa" w:w="120"/>
            </w:tcMar>
          </w:tcPr>
          <w:p>
            <w:r>
              <w:rPr>
                <w:b w:val="false"/>
                <w:bCs w:val="false"/>
                <w:color w:val="000000"/>
                <w:sz w:val="21"/>
                <w:szCs w:val="21"/>
              </w:rPr>
              <w:t xml:space="preserve">Risonanza sulla stampa. Il nostro impegno non è passato inosservato. Articoli su testate come il «Giornale Trentino» hanno parlato ampiamente delle nostre iniziative, tra cui la pubblicazione del documentario «Fiöi dal Nos» su YouTube per renderlo accessibile a tutti, sottolineando l'importanza del nostro lavoro di ricerca. Anche la rivista «UnserTirol24» ha dato spazio a nostre traduzioni e contributi letterari, come nel caso della poesia «L'incanto del bosch», evidenziando la nostra attività di divulgazione linguistica.</w:t>
            </w:r>
          </w:p>
        </w:tc>
        <w:tc>
          <w:tcPr>
            <w:tcW w:type="pct" w:w="50%"/>
            <w:tcMar>
              <w:top w:type="dxa" w:w="80"/>
              <w:left w:type="dxa" w:w="120"/>
              <w:bottom w:type="dxa" w:w="80"/>
              <w:right w:type="dxa" w:w="120"/>
            </w:tcMar>
          </w:tcPr>
          <w:p>
            <w:r>
              <w:rPr>
                <w:b w:val="false"/>
                <w:bCs w:val="false"/>
                <w:color w:val="000000"/>
                <w:sz w:val="21"/>
                <w:szCs w:val="21"/>
              </w:rPr>
              <w:t xml:space="preserve">Widerhall in der Presse. Unser Engagement blieb nicht unbemerkt. Zeitungen wie der «Giornale Trentino» haben ausführlich über unsere Initiativen berichtet, darunter die Veröffentlichung des Dokumentarfilms «Fiöi dal Nos» auf YouTube, um ihn allen zugänglich zu machen, und die Bedeutung unserer Forschungsarbeit hervorgehoben. Auch die Zeitschrift «UnserTirol24» hat unseren Übersetzungen und literarischen Beiträgen Raum gegeben, etwa dem Gedicht «L'incanto del bosch», und damit unsere Arbeit der sprachlichen Vermittlung gewürdigt.</w:t>
            </w:r>
          </w:p>
        </w:tc>
      </w:tr>
      <w:tr>
        <w:tc>
          <w:tcPr>
            <w:tcW w:type="pct" w:w="50%"/>
            <w:tcMar>
              <w:top w:type="dxa" w:w="80"/>
              <w:left w:type="dxa" w:w="120"/>
              <w:bottom w:type="dxa" w:w="80"/>
              <w:right w:type="dxa" w:w="120"/>
            </w:tcMar>
          </w:tcPr>
          <w:p>
            <w:r>
              <w:rPr>
                <w:b w:val="false"/>
                <w:bCs w:val="false"/>
                <w:color w:val="000000"/>
                <w:sz w:val="21"/>
                <w:szCs w:val="21"/>
              </w:rPr>
              <w:t xml:space="preserve">Eventi per la comunità. Dalle cene a tema storico-linguistico alle serate di commemorazione, ogni nostro evento è un'occasione per incontrarsi, imparare e condividere, rafforzando i legami comunitari e celebrando insieme la ricchezza del nostro passato.</w:t>
            </w:r>
          </w:p>
        </w:tc>
        <w:tc>
          <w:tcPr>
            <w:tcW w:type="pct" w:w="50%"/>
            <w:tcMar>
              <w:top w:type="dxa" w:w="80"/>
              <w:left w:type="dxa" w:w="120"/>
              <w:bottom w:type="dxa" w:w="80"/>
              <w:right w:type="dxa" w:w="120"/>
            </w:tcMar>
          </w:tcPr>
          <w:p>
            <w:r>
              <w:rPr>
                <w:b w:val="false"/>
                <w:bCs w:val="false"/>
                <w:color w:val="000000"/>
                <w:sz w:val="21"/>
                <w:szCs w:val="21"/>
              </w:rPr>
              <w:t xml:space="preserve">Veranstaltungen für die Gemeinschaft. Von Themenabenden zu Geschichte und Sprache bis zu Gedenkabenden ist jede unserer Veranstaltungen eine Gelegenheit, sich zu begegnen, zu lernen und zu teilen, die Bande der Gemeinschaft zu stärken und gemeinsam den Reichtum unserer Vergangenheit zu feiern.</w:t>
            </w:r>
          </w:p>
        </w:tc>
      </w:tr>
      <w:tr>
        <w:tc>
          <w:tcPr>
            <w:tcW w:type="pct" w:w="50%"/>
            <w:tcMar>
              <w:top w:type="dxa" w:w="80"/>
              <w:left w:type="dxa" w:w="120"/>
              <w:bottom w:type="dxa" w:w="80"/>
              <w:right w:type="dxa" w:w="120"/>
            </w:tcMar>
          </w:tcPr>
          <w:p>
            <w:r>
              <w:rPr>
                <w:b w:val="false"/>
                <w:bCs w:val="false"/>
                <w:color w:val="000000"/>
                <w:sz w:val="21"/>
                <w:szCs w:val="21"/>
              </w:rPr>
              <w:t xml:space="preserve">Entra a far parte della nostra storia. Sostienici con il tesseramento o una donazione per permetterci di continuare questo straordinario viaggio.</w:t>
            </w:r>
          </w:p>
        </w:tc>
        <w:tc>
          <w:tcPr>
            <w:tcW w:type="pct" w:w="50%"/>
            <w:tcMar>
              <w:top w:type="dxa" w:w="80"/>
              <w:left w:type="dxa" w:w="120"/>
              <w:bottom w:type="dxa" w:w="80"/>
              <w:right w:type="dxa" w:w="120"/>
            </w:tcMar>
          </w:tcPr>
          <w:p>
            <w:r>
              <w:rPr>
                <w:b w:val="false"/>
                <w:bCs w:val="false"/>
                <w:color w:val="000000"/>
                <w:sz w:val="21"/>
                <w:szCs w:val="21"/>
              </w:rPr>
              <w:t xml:space="preserve">Werde Teil unserer Geschichte. Unterstütze uns mit deiner Mitgliedschaft oder einer Spende, damit wir diese außergewöhnliche Reise fortsetzen können.</w:t>
            </w:r>
          </w:p>
        </w:tc>
      </w:tr>
      <w:tr>
        <w:tc>
          <w:tcPr>
            <w:tcW w:type="pct" w:w="50%"/>
            <w:tcMar>
              <w:top w:type="dxa" w:w="80"/>
              <w:left w:type="dxa" w:w="120"/>
              <w:bottom w:type="dxa" w:w="80"/>
              <w:right w:type="dxa" w:w="120"/>
            </w:tcMar>
          </w:tcPr>
          <w:p>
            <w:r>
              <w:rPr>
                <w:b w:val="false"/>
                <w:bCs w:val="false"/>
                <w:color w:val="000000"/>
                <w:sz w:val="21"/>
                <w:szCs w:val="21"/>
              </w:rPr>
              <w:t xml:space="preserve">Associazione Storico Culturale Linguistica «El Brenz».</w:t>
            </w:r>
          </w:p>
        </w:tc>
        <w:tc>
          <w:tcPr>
            <w:tcW w:type="pct" w:w="50%"/>
            <w:tcMar>
              <w:top w:type="dxa" w:w="80"/>
              <w:left w:type="dxa" w:w="120"/>
              <w:bottom w:type="dxa" w:w="80"/>
              <w:right w:type="dxa" w:w="120"/>
            </w:tcMar>
          </w:tcPr>
          <w:p>
            <w:r>
              <w:rPr>
                <w:b w:val="false"/>
                <w:bCs w:val="false"/>
                <w:color w:val="000000"/>
                <w:sz w:val="21"/>
                <w:szCs w:val="21"/>
              </w:rPr>
              <w:t xml:space="preserve">Geschichtlich-kultureller und sprachwissenschaftlicher Verein «El Brenz».</w:t>
            </w:r>
          </w:p>
        </w:tc>
      </w:tr>
      <w:tr>
        <w:tc>
          <w:tcPr>
            <w:tcW w:type="pct" w:w="50%"/>
            <w:tcMar>
              <w:top w:type="dxa" w:w="80"/>
              <w:left w:type="dxa" w:w="120"/>
              <w:bottom w:type="dxa" w:w="80"/>
              <w:right w:type="dxa" w:w="120"/>
            </w:tcMar>
          </w:tcPr>
          <w:p>
            <w:r>
              <w:rPr>
                <w:b w:val="false"/>
                <w:bCs w:val="false"/>
                <w:color w:val="000000"/>
                <w:sz w:val="21"/>
                <w:szCs w:val="21"/>
              </w:rPr>
              <w:t xml:space="preserve">Raìs fonde no le 'nglacia — Radici profonde non gelano.</w:t>
            </w:r>
          </w:p>
        </w:tc>
        <w:tc>
          <w:tcPr>
            <w:tcW w:type="pct" w:w="50%"/>
            <w:tcMar>
              <w:top w:type="dxa" w:w="80"/>
              <w:left w:type="dxa" w:w="120"/>
              <w:bottom w:type="dxa" w:w="80"/>
              <w:right w:type="dxa" w:w="120"/>
            </w:tcMar>
          </w:tcPr>
          <w:p>
            <w:r>
              <w:rPr>
                <w:b w:val="false"/>
                <w:bCs w:val="false"/>
                <w:color w:val="000000"/>
                <w:sz w:val="21"/>
                <w:szCs w:val="21"/>
              </w:rPr>
              <w:t xml:space="preserve">Raìs fonde no le 'nglacia (Motto in anaunischem Ladinisch) — Tiefe Wurzeln erfrieren nicht.</w:t>
            </w:r>
          </w:p>
        </w:tc>
      </w:tr>
      <w:tr>
        <w:tc>
          <w:tcPr>
            <w:tcW w:type="pct" w:w="50%"/>
            <w:tcMar>
              <w:top w:type="dxa" w:w="80"/>
              <w:left w:type="dxa" w:w="120"/>
              <w:bottom w:type="dxa" w:w="80"/>
              <w:right w:type="dxa" w:w="120"/>
            </w:tcMar>
          </w:tcPr>
          <w:p>
            <w:r>
              <w:rPr>
                <w:b w:val="false"/>
                <w:bCs w:val="false"/>
                <w:color w:val="000000"/>
                <w:sz w:val="21"/>
                <w:szCs w:val="21"/>
              </w:rPr>
              <w:t xml:space="preserve">Diventa socio</w:t>
            </w:r>
          </w:p>
        </w:tc>
        <w:tc>
          <w:tcPr>
            <w:tcW w:type="pct" w:w="50%"/>
            <w:tcMar>
              <w:top w:type="dxa" w:w="80"/>
              <w:left w:type="dxa" w:w="120"/>
              <w:bottom w:type="dxa" w:w="80"/>
              <w:right w:type="dxa" w:w="120"/>
            </w:tcMar>
          </w:tcPr>
          <w:p>
            <w:r>
              <w:rPr>
                <w:b w:val="false"/>
                <w:bCs w:val="false"/>
                <w:color w:val="000000"/>
                <w:sz w:val="21"/>
                <w:szCs w:val="21"/>
              </w:rPr>
              <w:t xml:space="preserve">Mitglied werden</w:t>
            </w:r>
          </w:p>
        </w:tc>
      </w:tr>
      <w:tr>
        <w:tc>
          <w:tcPr>
            <w:tcW w:type="pct" w:w="50%"/>
            <w:tcMar>
              <w:top w:type="dxa" w:w="80"/>
              <w:left w:type="dxa" w:w="120"/>
              <w:bottom w:type="dxa" w:w="80"/>
              <w:right w:type="dxa" w:w="120"/>
            </w:tcMar>
          </w:tcPr>
          <w:p>
            <w:r>
              <w:rPr>
                <w:b w:val="false"/>
                <w:bCs w:val="false"/>
                <w:color w:val="000000"/>
                <w:sz w:val="21"/>
                <w:szCs w:val="21"/>
              </w:rPr>
              <w:t xml:space="preserve">Leggi lo Statuto</w:t>
            </w:r>
          </w:p>
        </w:tc>
        <w:tc>
          <w:tcPr>
            <w:tcW w:type="pct" w:w="50%"/>
            <w:tcMar>
              <w:top w:type="dxa" w:w="80"/>
              <w:left w:type="dxa" w:w="120"/>
              <w:bottom w:type="dxa" w:w="80"/>
              <w:right w:type="dxa" w:w="120"/>
            </w:tcMar>
          </w:tcPr>
          <w:p>
            <w:r>
              <w:rPr>
                <w:b w:val="false"/>
                <w:bCs w:val="false"/>
                <w:color w:val="000000"/>
                <w:sz w:val="21"/>
                <w:szCs w:val="21"/>
              </w:rPr>
              <w:t xml:space="preserve">Die Satzung lesen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Traduzione DE — chi-siamo</dc:title>
  <dc:creator>El Brenz APS</dc:creator>
  <cp:lastModifiedBy>Un-named</cp:lastModifiedBy>
  <cp:revision>1</cp:revision>
  <dcterms:created xsi:type="dcterms:W3CDTF">2026-07-22T13:54:12.345Z</dcterms:created>
  <dcterms:modified xsi:type="dcterms:W3CDTF">2026-07-22T13:54:12.345Z</dcterms:modified>
</cp:coreProperties>
</file>

<file path=docProps/custom.xml><?xml version="1.0" encoding="utf-8"?>
<Properties xmlns="http://schemas.openxmlformats.org/officeDocument/2006/custom-properties" xmlns:vt="http://schemas.openxmlformats.org/officeDocument/2006/docPropsVTypes"/>
</file>