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1E2E26"/>
        </w:rPr>
        <w:t xml:space="preserve">Fiöi dal Nos (documentario)</w:t>
      </w:r>
    </w:p>
    <w:p>
      <w:r>
        <w:rPr>
          <w:i/>
          <w:iCs/>
          <w:color w:val="666666"/>
          <w:sz w:val="20"/>
          <w:szCs w:val="20"/>
        </w:rPr>
        <w:t xml:space="preserve">Pagina: /de/fioi-dal-nos</w:t>
      </w:r>
    </w:p>
    <w:p>
      <w:r>
        <w:rPr>
          <w:color w:val="666666"/>
          <w:sz w:val="20"/>
          <w:szCs w:val="20"/>
        </w:rPr>
        <w:t xml:space="preserve">Revisione terminologica: Brunella Bonapace. La terminologia chiave e gli esonimi delle valli sono gia validati; correzioni nella colonna DE.</w:t>
      </w:r>
    </w:p>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50%"/>
            <w:shd w:fill="1E2E26"/>
            <w:tcMar>
              <w:top w:type="dxa" w:w="80"/>
              <w:left w:type="dxa" w:w="120"/>
              <w:bottom w:type="dxa" w:w="80"/>
              <w:right w:type="dxa" w:w="120"/>
            </w:tcMar>
          </w:tcPr>
          <w:p>
            <w:r>
              <w:rPr>
                <w:b/>
                <w:bCs/>
                <w:color w:val="F5EEDD"/>
                <w:sz w:val="22"/>
                <w:szCs w:val="22"/>
              </w:rPr>
              <w:t xml:space="preserve">Italiano (fonte)</w:t>
            </w:r>
          </w:p>
        </w:tc>
        <w:tc>
          <w:tcPr>
            <w:tcW w:type="pct" w:w="50%"/>
            <w:shd w:fill="1E2E26"/>
            <w:tcMar>
              <w:top w:type="dxa" w:w="80"/>
              <w:left w:type="dxa" w:w="120"/>
              <w:bottom w:type="dxa" w:w="80"/>
              <w:right w:type="dxa" w:w="120"/>
            </w:tcMar>
          </w:tcPr>
          <w:p>
            <w:r>
              <w:rPr>
                <w:b/>
                <w:bCs/>
                <w:color w:val="F5EEDD"/>
                <w:sz w:val="22"/>
                <w:szCs w:val="22"/>
              </w:rPr>
              <w:t xml:space="preserve">Deutsch (bozza Claude, da rivedere)</w:t>
            </w:r>
          </w:p>
        </w:tc>
      </w:tr>
      <w:tr>
        <w:tc>
          <w:tcPr>
            <w:tcW w:type="pct" w:w="50%"/>
            <w:tcMar>
              <w:top w:type="dxa" w:w="80"/>
              <w:left w:type="dxa" w:w="120"/>
              <w:bottom w:type="dxa" w:w="80"/>
              <w:right w:type="dxa" w:w="120"/>
            </w:tcMar>
          </w:tcPr>
          <w:p>
            <w:r>
              <w:rPr>
                <w:b w:val="false"/>
                <w:bCs w:val="false"/>
                <w:color w:val="000000"/>
                <w:sz w:val="21"/>
                <w:szCs w:val="21"/>
              </w:rPr>
              <w:t xml:space="preserve">Fiöi dal Nos: il documentario sulla ladinità delle Valli del Noce</w:t>
            </w:r>
          </w:p>
        </w:tc>
        <w:tc>
          <w:tcPr>
            <w:tcW w:type="pct" w:w="50%"/>
            <w:tcMar>
              <w:top w:type="dxa" w:w="80"/>
              <w:left w:type="dxa" w:w="120"/>
              <w:bottom w:type="dxa" w:w="80"/>
              <w:right w:type="dxa" w:w="120"/>
            </w:tcMar>
          </w:tcPr>
          <w:p>
            <w:r>
              <w:rPr>
                <w:b w:val="false"/>
                <w:bCs w:val="false"/>
                <w:color w:val="000000"/>
                <w:sz w:val="21"/>
                <w:szCs w:val="21"/>
              </w:rPr>
              <w:t xml:space="preserve">Fiöi dal Nos: der Dokumentarfilm über die Ladinität der Täler des Noce</w:t>
            </w:r>
          </w:p>
        </w:tc>
      </w:tr>
      <w:tr>
        <w:tc>
          <w:tcPr>
            <w:tcW w:type="pct" w:w="50%"/>
            <w:tcMar>
              <w:top w:type="dxa" w:w="80"/>
              <w:left w:type="dxa" w:w="120"/>
              <w:bottom w:type="dxa" w:w="80"/>
              <w:right w:type="dxa" w:w="120"/>
            </w:tcMar>
          </w:tcPr>
          <w:p>
            <w:r>
              <w:rPr>
                <w:b w:val="false"/>
                <w:bCs w:val="false"/>
                <w:color w:val="000000"/>
                <w:sz w:val="21"/>
                <w:szCs w:val="21"/>
              </w:rPr>
              <w:t xml:space="preserve">Fiöi dal Nos: due anni di lavoro di El Brenz per riscoprire le radici storiche, culturali e linguistiche delle Valli del Noce. Il documentario e lo studio che lo fonda.</w:t>
            </w:r>
          </w:p>
        </w:tc>
        <w:tc>
          <w:tcPr>
            <w:tcW w:type="pct" w:w="50%"/>
            <w:tcMar>
              <w:top w:type="dxa" w:w="80"/>
              <w:left w:type="dxa" w:w="120"/>
              <w:bottom w:type="dxa" w:w="80"/>
              <w:right w:type="dxa" w:w="120"/>
            </w:tcMar>
          </w:tcPr>
          <w:p>
            <w:r>
              <w:rPr>
                <w:b w:val="false"/>
                <w:bCs w:val="false"/>
                <w:color w:val="000000"/>
                <w:sz w:val="21"/>
                <w:szCs w:val="21"/>
              </w:rPr>
              <w:t xml:space="preserve">Fiöi dal Nos: zwei Jahre Arbeit von El Brenz, um die geschichtlichen, kulturellen und sprachlichen Wurzeln der Täler des Noce wiederzuentdecken. Der Dokumentarfilm und die Studie, die ihn begründet.</w:t>
            </w:r>
          </w:p>
        </w:tc>
      </w:tr>
      <w:tr>
        <w:tc>
          <w:tcPr>
            <w:tcW w:type="pct" w:w="50%"/>
            <w:tcMar>
              <w:top w:type="dxa" w:w="80"/>
              <w:left w:type="dxa" w:w="120"/>
              <w:bottom w:type="dxa" w:w="80"/>
              <w:right w:type="dxa" w:w="120"/>
            </w:tcMar>
          </w:tcPr>
          <w:p>
            <w:r>
              <w:rPr>
                <w:b w:val="false"/>
                <w:bCs w:val="false"/>
                <w:color w:val="000000"/>
                <w:sz w:val="21"/>
                <w:szCs w:val="21"/>
              </w:rPr>
              <w:t xml:space="preserve">Documentario · Identità e memoria</w:t>
            </w:r>
          </w:p>
        </w:tc>
        <w:tc>
          <w:tcPr>
            <w:tcW w:type="pct" w:w="50%"/>
            <w:tcMar>
              <w:top w:type="dxa" w:w="80"/>
              <w:left w:type="dxa" w:w="120"/>
              <w:bottom w:type="dxa" w:w="80"/>
              <w:right w:type="dxa" w:w="120"/>
            </w:tcMar>
          </w:tcPr>
          <w:p>
            <w:r>
              <w:rPr>
                <w:b w:val="false"/>
                <w:bCs w:val="false"/>
                <w:color w:val="000000"/>
                <w:sz w:val="21"/>
                <w:szCs w:val="21"/>
              </w:rPr>
              <w:t xml:space="preserve">Dokumentarfilm · Identität und Gedächtnis</w:t>
            </w:r>
          </w:p>
        </w:tc>
      </w:tr>
      <w:tr>
        <w:tc>
          <w:tcPr>
            <w:tcW w:type="pct" w:w="50%"/>
            <w:tcMar>
              <w:top w:type="dxa" w:w="80"/>
              <w:left w:type="dxa" w:w="120"/>
              <w:bottom w:type="dxa" w:w="80"/>
              <w:right w:type="dxa" w:w="120"/>
            </w:tcMar>
          </w:tcPr>
          <w:p>
            <w:r>
              <w:rPr>
                <w:b w:val="false"/>
                <w:bCs w:val="false"/>
                <w:color w:val="000000"/>
                <w:sz w:val="21"/>
                <w:szCs w:val="21"/>
              </w:rPr>
              <w:t xml:space="preserve">Fiöi dal Nos</w:t>
            </w:r>
          </w:p>
        </w:tc>
        <w:tc>
          <w:tcPr>
            <w:tcW w:type="pct" w:w="50%"/>
            <w:tcMar>
              <w:top w:type="dxa" w:w="80"/>
              <w:left w:type="dxa" w:w="120"/>
              <w:bottom w:type="dxa" w:w="80"/>
              <w:right w:type="dxa" w:w="120"/>
            </w:tcMar>
          </w:tcPr>
          <w:p>
            <w:r>
              <w:rPr>
                <w:b w:val="false"/>
                <w:bCs w:val="false"/>
                <w:color w:val="000000"/>
                <w:sz w:val="21"/>
                <w:szCs w:val="21"/>
              </w:rPr>
              <w:t xml:space="preserve">Fiöi dal Nos (Söhne des Noce, Kinder des Nonstals)</w:t>
            </w:r>
          </w:p>
        </w:tc>
      </w:tr>
      <w:tr>
        <w:tc>
          <w:tcPr>
            <w:tcW w:type="pct" w:w="50%"/>
            <w:tcMar>
              <w:top w:type="dxa" w:w="80"/>
              <w:left w:type="dxa" w:w="120"/>
              <w:bottom w:type="dxa" w:w="80"/>
              <w:right w:type="dxa" w:w="120"/>
            </w:tcMar>
          </w:tcPr>
          <w:p>
            <w:r>
              <w:rPr>
                <w:b w:val="false"/>
                <w:bCs w:val="false"/>
                <w:color w:val="000000"/>
                <w:sz w:val="21"/>
                <w:szCs w:val="21"/>
              </w:rPr>
              <w:t xml:space="preserve">Ladinità nonesa e solandra: cultura e lingua</w:t>
            </w:r>
          </w:p>
        </w:tc>
        <w:tc>
          <w:tcPr>
            <w:tcW w:type="pct" w:w="50%"/>
            <w:tcMar>
              <w:top w:type="dxa" w:w="80"/>
              <w:left w:type="dxa" w:w="120"/>
              <w:bottom w:type="dxa" w:w="80"/>
              <w:right w:type="dxa" w:w="120"/>
            </w:tcMar>
          </w:tcPr>
          <w:p>
            <w:r>
              <w:rPr>
                <w:b w:val="false"/>
                <w:bCs w:val="false"/>
                <w:color w:val="000000"/>
                <w:sz w:val="21"/>
                <w:szCs w:val="21"/>
              </w:rPr>
              <w:t xml:space="preserve">Ladinität von Nonsberg und Sulzberg: Kultur und Sprache</w:t>
            </w:r>
          </w:p>
        </w:tc>
      </w:tr>
      <w:tr>
        <w:tc>
          <w:tcPr>
            <w:tcW w:type="pct" w:w="50%"/>
            <w:tcMar>
              <w:top w:type="dxa" w:w="80"/>
              <w:left w:type="dxa" w:w="120"/>
              <w:bottom w:type="dxa" w:w="80"/>
              <w:right w:type="dxa" w:w="120"/>
            </w:tcMar>
          </w:tcPr>
          <w:p>
            <w:r>
              <w:rPr>
                <w:b w:val="false"/>
                <w:bCs w:val="false"/>
                <w:color w:val="000000"/>
                <w:sz w:val="21"/>
                <w:szCs w:val="21"/>
              </w:rPr>
              <w:t xml:space="preserve">Due anni di ricerca, un documentario, una domanda che ci portiamo dentro da sempre: chi siamo, noi delle Valli del Noce? Fiöi dal Nos è il racconto per immagini delle nostre radici (retiche, latine, ladine) e resta, a più di un decennio dalla sua nascita, la pietra di fondazione dell'Associazione.</w:t>
            </w:r>
          </w:p>
        </w:tc>
        <w:tc>
          <w:tcPr>
            <w:tcW w:type="pct" w:w="50%"/>
            <w:tcMar>
              <w:top w:type="dxa" w:w="80"/>
              <w:left w:type="dxa" w:w="120"/>
              <w:bottom w:type="dxa" w:w="80"/>
              <w:right w:type="dxa" w:w="120"/>
            </w:tcMar>
          </w:tcPr>
          <w:p>
            <w:r>
              <w:rPr>
                <w:b w:val="false"/>
                <w:bCs w:val="false"/>
                <w:color w:val="000000"/>
                <w:sz w:val="21"/>
                <w:szCs w:val="21"/>
              </w:rPr>
              <w:t xml:space="preserve">Zwei Jahre Forschung, ein Dokumentarfilm, eine Frage, die wir seit jeher in uns tragen: Wer sind wir, wir aus den Tälern des Noce? Fiöi dal Nos ist die Erzählung in Bildern unserer Wurzeln (rätisch, lateinisch, ladinisch) und bleibt, mehr als ein Jahrzehnt nach seiner Entstehung, der Gründungsstein des Vereins.</w:t>
            </w:r>
          </w:p>
        </w:tc>
      </w:tr>
      <w:tr>
        <w:tc>
          <w:tcPr>
            <w:tcW w:type="pct" w:w="50%"/>
            <w:tcMar>
              <w:top w:type="dxa" w:w="80"/>
              <w:left w:type="dxa" w:w="120"/>
              <w:bottom w:type="dxa" w:w="80"/>
              <w:right w:type="dxa" w:w="120"/>
            </w:tcMar>
          </w:tcPr>
          <w:p>
            <w:r>
              <w:rPr>
                <w:b w:val="false"/>
                <w:bCs w:val="false"/>
                <w:color w:val="000000"/>
                <w:sz w:val="21"/>
                <w:szCs w:val="21"/>
              </w:rPr>
              <w:t xml:space="preserve">Guarda il documentario</w:t>
            </w:r>
          </w:p>
        </w:tc>
        <w:tc>
          <w:tcPr>
            <w:tcW w:type="pct" w:w="50%"/>
            <w:tcMar>
              <w:top w:type="dxa" w:w="80"/>
              <w:left w:type="dxa" w:w="120"/>
              <w:bottom w:type="dxa" w:w="80"/>
              <w:right w:type="dxa" w:w="120"/>
            </w:tcMar>
          </w:tcPr>
          <w:p>
            <w:r>
              <w:rPr>
                <w:b w:val="false"/>
                <w:bCs w:val="false"/>
                <w:color w:val="000000"/>
                <w:sz w:val="21"/>
                <w:szCs w:val="21"/>
              </w:rPr>
              <w:t xml:space="preserve">Den Dokumentarfilm ansehen</w:t>
            </w:r>
          </w:p>
        </w:tc>
      </w:tr>
      <w:tr>
        <w:tc>
          <w:tcPr>
            <w:tcW w:type="pct" w:w="50%"/>
            <w:tcMar>
              <w:top w:type="dxa" w:w="80"/>
              <w:left w:type="dxa" w:w="120"/>
              <w:bottom w:type="dxa" w:w="80"/>
              <w:right w:type="dxa" w:w="120"/>
            </w:tcMar>
          </w:tcPr>
          <w:p>
            <w:r>
              <w:rPr>
                <w:b w:val="false"/>
                <w:bCs w:val="false"/>
                <w:color w:val="000000"/>
                <w:sz w:val="21"/>
                <w:szCs w:val="21"/>
              </w:rPr>
              <w:t xml:space="preserve">Canale YouTube ufficiale di El Brenz · si carica solo quando premi play (nessun dato a Google prima del tuo clic).</w:t>
            </w:r>
          </w:p>
        </w:tc>
        <w:tc>
          <w:tcPr>
            <w:tcW w:type="pct" w:w="50%"/>
            <w:tcMar>
              <w:top w:type="dxa" w:w="80"/>
              <w:left w:type="dxa" w:w="120"/>
              <w:bottom w:type="dxa" w:w="80"/>
              <w:right w:type="dxa" w:w="120"/>
            </w:tcMar>
          </w:tcPr>
          <w:p>
            <w:r>
              <w:rPr>
                <w:b w:val="false"/>
                <w:bCs w:val="false"/>
                <w:color w:val="000000"/>
                <w:sz w:val="21"/>
                <w:szCs w:val="21"/>
              </w:rPr>
              <w:t xml:space="preserve">Offizieller YouTube-Kanal von El Brenz · lädt erst, wenn ihr auf Play drückt (keine Daten an Google vor eurem Klick).</w:t>
            </w:r>
          </w:p>
        </w:tc>
      </w:tr>
      <w:tr>
        <w:tc>
          <w:tcPr>
            <w:tcW w:type="pct" w:w="50%"/>
            <w:tcMar>
              <w:top w:type="dxa" w:w="80"/>
              <w:left w:type="dxa" w:w="120"/>
              <w:bottom w:type="dxa" w:w="80"/>
              <w:right w:type="dxa" w:w="120"/>
            </w:tcMar>
          </w:tcPr>
          <w:p>
            <w:r>
              <w:rPr>
                <w:b w:val="false"/>
                <w:bCs w:val="false"/>
                <w:color w:val="000000"/>
                <w:sz w:val="21"/>
                <w:szCs w:val="21"/>
              </w:rPr>
              <w:t xml:space="preserve">In questa pagina</w:t>
            </w:r>
          </w:p>
        </w:tc>
        <w:tc>
          <w:tcPr>
            <w:tcW w:type="pct" w:w="50%"/>
            <w:tcMar>
              <w:top w:type="dxa" w:w="80"/>
              <w:left w:type="dxa" w:w="120"/>
              <w:bottom w:type="dxa" w:w="80"/>
              <w:right w:type="dxa" w:w="120"/>
            </w:tcMar>
          </w:tcPr>
          <w:p>
            <w:r>
              <w:rPr>
                <w:b w:val="false"/>
                <w:bCs w:val="false"/>
                <w:color w:val="000000"/>
                <w:sz w:val="21"/>
                <w:szCs w:val="21"/>
              </w:rPr>
              <w:t xml:space="preserve">Auf dieser Seite</w:t>
            </w:r>
          </w:p>
        </w:tc>
      </w:tr>
      <w:tr>
        <w:tc>
          <w:tcPr>
            <w:tcW w:type="pct" w:w="50%"/>
            <w:tcMar>
              <w:top w:type="dxa" w:w="80"/>
              <w:left w:type="dxa" w:w="120"/>
              <w:bottom w:type="dxa" w:w="80"/>
              <w:right w:type="dxa" w:w="120"/>
            </w:tcMar>
          </w:tcPr>
          <w:p>
            <w:r>
              <w:rPr>
                <w:b w:val="false"/>
                <w:bCs w:val="false"/>
                <w:color w:val="000000"/>
                <w:sz w:val="21"/>
                <w:szCs w:val="21"/>
              </w:rPr>
              <w:t xml:space="preserve">A distanza di anni, la stessa domanda</w:t>
            </w:r>
          </w:p>
        </w:tc>
        <w:tc>
          <w:tcPr>
            <w:tcW w:type="pct" w:w="50%"/>
            <w:tcMar>
              <w:top w:type="dxa" w:w="80"/>
              <w:left w:type="dxa" w:w="120"/>
              <w:bottom w:type="dxa" w:w="80"/>
              <w:right w:type="dxa" w:w="120"/>
            </w:tcMar>
          </w:tcPr>
          <w:p>
            <w:r>
              <w:rPr>
                <w:b w:val="false"/>
                <w:bCs w:val="false"/>
                <w:color w:val="000000"/>
                <w:sz w:val="21"/>
                <w:szCs w:val="21"/>
              </w:rPr>
              <w:t xml:space="preserve">Nach Jahren dieselbe Frage</w:t>
            </w:r>
          </w:p>
        </w:tc>
      </w:tr>
      <w:tr>
        <w:tc>
          <w:tcPr>
            <w:tcW w:type="pct" w:w="50%"/>
            <w:tcMar>
              <w:top w:type="dxa" w:w="80"/>
              <w:left w:type="dxa" w:w="120"/>
              <w:bottom w:type="dxa" w:w="80"/>
              <w:right w:type="dxa" w:w="120"/>
            </w:tcMar>
          </w:tcPr>
          <w:p>
            <w:r>
              <w:rPr>
                <w:b w:val="false"/>
                <w:bCs w:val="false"/>
                <w:color w:val="000000"/>
                <w:sz w:val="21"/>
                <w:szCs w:val="21"/>
              </w:rPr>
              <w:t xml:space="preserve">Quando Fiöi dal Nos fu presentato, nel 2015, El Brenz era un'associazione giovane e questo documentario fu il suo primo grande atto: mettere in fila, con rigore e con passione, le prove di un'identità antica. Sono passati undici anni, e quelle domande sono ancora la nostra bussola. Nel frattempo la ricerca che lo sostiene non ha perso una virgola di validità, e la voce degli intervistati continua a parlare. Per questo abbiamo voluto ridargli il posto d'onore che merita.</w:t>
            </w:r>
          </w:p>
        </w:tc>
        <w:tc>
          <w:tcPr>
            <w:tcW w:type="pct" w:w="50%"/>
            <w:tcMar>
              <w:top w:type="dxa" w:w="80"/>
              <w:left w:type="dxa" w:w="120"/>
              <w:bottom w:type="dxa" w:w="80"/>
              <w:right w:type="dxa" w:w="120"/>
            </w:tcMar>
          </w:tcPr>
          <w:p>
            <w:r>
              <w:rPr>
                <w:b w:val="false"/>
                <w:bCs w:val="false"/>
                <w:color w:val="000000"/>
                <w:sz w:val="21"/>
                <w:szCs w:val="21"/>
              </w:rPr>
              <w:t xml:space="preserve">Als Fiöi dal Nos im Jahr 2015 vorgestellt wurde, war El Brenz ein junger Verein, und dieser Dokumentarfilm war seine erste große Tat: mit Strenge und mit Leidenschaft die Belege einer alten Identität zusammenzutragen. Elf Jahre sind vergangen, und jene Fragen sind noch immer unser Kompass. In der Zwischenzeit hat die Forschung, die ihn trägt, kein Jota ihrer Gültigkeit verloren, und die Stimme der Befragten spricht weiter. Deshalb wollten wir ihm den Ehrenplatz zurückgeben, den er verdient.</w:t>
            </w:r>
          </w:p>
        </w:tc>
      </w:tr>
      <w:tr>
        <w:tc>
          <w:tcPr>
            <w:tcW w:type="pct" w:w="50%"/>
            <w:tcMar>
              <w:top w:type="dxa" w:w="80"/>
              <w:left w:type="dxa" w:w="120"/>
              <w:bottom w:type="dxa" w:w="80"/>
              <w:right w:type="dxa" w:w="120"/>
            </w:tcMar>
          </w:tcPr>
          <w:p>
            <w:r>
              <w:rPr>
                <w:b w:val="false"/>
                <w:bCs w:val="false"/>
                <w:color w:val="000000"/>
                <w:sz w:val="21"/>
                <w:szCs w:val="21"/>
              </w:rPr>
              <w:t xml:space="preserve">La motivazione</w:t>
            </w:r>
          </w:p>
        </w:tc>
        <w:tc>
          <w:tcPr>
            <w:tcW w:type="pct" w:w="50%"/>
            <w:tcMar>
              <w:top w:type="dxa" w:w="80"/>
              <w:left w:type="dxa" w:w="120"/>
              <w:bottom w:type="dxa" w:w="80"/>
              <w:right w:type="dxa" w:w="120"/>
            </w:tcMar>
          </w:tcPr>
          <w:p>
            <w:r>
              <w:rPr>
                <w:b w:val="false"/>
                <w:bCs w:val="false"/>
                <w:color w:val="000000"/>
                <w:sz w:val="21"/>
                <w:szCs w:val="21"/>
              </w:rPr>
              <w:t xml:space="preserve">Der Beweggrund</w:t>
            </w:r>
          </w:p>
        </w:tc>
      </w:tr>
      <w:tr>
        <w:tc>
          <w:tcPr>
            <w:tcW w:type="pct" w:w="50%"/>
            <w:tcMar>
              <w:top w:type="dxa" w:w="80"/>
              <w:left w:type="dxa" w:w="120"/>
              <w:bottom w:type="dxa" w:w="80"/>
              <w:right w:type="dxa" w:w="120"/>
            </w:tcMar>
          </w:tcPr>
          <w:p>
            <w:r>
              <w:rPr>
                <w:b w:val="false"/>
                <w:bCs w:val="false"/>
                <w:color w:val="000000"/>
                <w:sz w:val="21"/>
                <w:szCs w:val="21"/>
              </w:rPr>
              <w:t xml:space="preserve">Alla base c'è un intento semplice e ambizioso insieme: la riscoperta delle antiche radici storiche, culturali e linguistiche delle Valli del Noce. Non un esercizio di nostalgia, ma la volontà di dare fondamento a ciò che i nostri anziani hanno sempre saputo per istinto, che la nosa parlada non è un dialetto minore, ma una lingua con una storia lunga e nobile.</w:t>
            </w:r>
          </w:p>
        </w:tc>
        <w:tc>
          <w:tcPr>
            <w:tcW w:type="pct" w:w="50%"/>
            <w:tcMar>
              <w:top w:type="dxa" w:w="80"/>
              <w:left w:type="dxa" w:w="120"/>
              <w:bottom w:type="dxa" w:w="80"/>
              <w:right w:type="dxa" w:w="120"/>
            </w:tcMar>
          </w:tcPr>
          <w:p>
            <w:r>
              <w:rPr>
                <w:b w:val="false"/>
                <w:bCs w:val="false"/>
                <w:color w:val="000000"/>
                <w:sz w:val="21"/>
                <w:szCs w:val="21"/>
              </w:rPr>
              <w:t xml:space="preserve">Zugrunde liegt ein zugleich schlichtes und ehrgeiziges Anliegen: die Wiederentdeckung der alten geschichtlichen, kulturellen und sprachlichen Wurzeln der Täler des Noce. Keine Übung in Nostalgie, sondern der Wille, dem ein Fundament zu geben, was unsere Alten immer instinktiv wussten: dass die nosa parlada (unsere Sprache) keine geringere Mundart, sondern eine Sprache mit langer und edler Geschichte ist.</w:t>
            </w:r>
          </w:p>
        </w:tc>
      </w:tr>
      <w:tr>
        <w:tc>
          <w:tcPr>
            <w:tcW w:type="pct" w:w="50%"/>
            <w:tcMar>
              <w:top w:type="dxa" w:w="80"/>
              <w:left w:type="dxa" w:w="120"/>
              <w:bottom w:type="dxa" w:w="80"/>
              <w:right w:type="dxa" w:w="120"/>
            </w:tcMar>
          </w:tcPr>
          <w:p>
            <w:r>
              <w:rPr>
                <w:b w:val="false"/>
                <w:bCs w:val="false"/>
                <w:color w:val="000000"/>
                <w:sz w:val="21"/>
                <w:szCs w:val="21"/>
              </w:rPr>
              <w:t xml:space="preserve">Il viaggio della ricerca</w:t>
            </w:r>
          </w:p>
        </w:tc>
        <w:tc>
          <w:tcPr>
            <w:tcW w:type="pct" w:w="50%"/>
            <w:tcMar>
              <w:top w:type="dxa" w:w="80"/>
              <w:left w:type="dxa" w:w="120"/>
              <w:bottom w:type="dxa" w:w="80"/>
              <w:right w:type="dxa" w:w="120"/>
            </w:tcMar>
          </w:tcPr>
          <w:p>
            <w:r>
              <w:rPr>
                <w:b w:val="false"/>
                <w:bCs w:val="false"/>
                <w:color w:val="000000"/>
                <w:sz w:val="21"/>
                <w:szCs w:val="21"/>
              </w:rPr>
              <w:t xml:space="preserve">Der Weg der Forschung</w:t>
            </w:r>
          </w:p>
        </w:tc>
      </w:tr>
      <w:tr>
        <w:tc>
          <w:tcPr>
            <w:tcW w:type="pct" w:w="50%"/>
            <w:tcMar>
              <w:top w:type="dxa" w:w="80"/>
              <w:left w:type="dxa" w:w="120"/>
              <w:bottom w:type="dxa" w:w="80"/>
              <w:right w:type="dxa" w:w="120"/>
            </w:tcMar>
          </w:tcPr>
          <w:p>
            <w:r>
              <w:rPr>
                <w:b w:val="false"/>
                <w:bCs w:val="false"/>
                <w:color w:val="000000"/>
                <w:sz w:val="21"/>
                <w:szCs w:val="21"/>
              </w:rPr>
              <w:t xml:space="preserve">Lo studio che sostiene il documentario attraversa duemila anni: parte dai Reti e dalla cultura di Fritzens-Sanzeno, prosegue con i Romani e la lenta trasformazione dal retico al retoromanzo, fino alla definizione dei Ladini, alle testimonianze cartografiche e alla cronologia degli studiosi che, da Ascoli in poi, hanno riconosciuto la ladinità delle nostre valli. Il cuore emotivo è la ricerca sul campo di Massimo Paternoster. Quello che segue è lo studio integrale.</w:t>
            </w:r>
          </w:p>
        </w:tc>
        <w:tc>
          <w:tcPr>
            <w:tcW w:type="pct" w:w="50%"/>
            <w:tcMar>
              <w:top w:type="dxa" w:w="80"/>
              <w:left w:type="dxa" w:w="120"/>
              <w:bottom w:type="dxa" w:w="80"/>
              <w:right w:type="dxa" w:w="120"/>
            </w:tcMar>
          </w:tcPr>
          <w:p>
            <w:r>
              <w:rPr>
                <w:b w:val="false"/>
                <w:bCs w:val="false"/>
                <w:color w:val="000000"/>
                <w:sz w:val="21"/>
                <w:szCs w:val="21"/>
              </w:rPr>
              <w:t xml:space="preserve">Die Studie, die den Dokumentarfilm trägt, durchmisst zweitausend Jahre: Sie geht von den Rätern und der Fritzens-Sanzeno-Kultur aus, fährt fort mit den Römern und dem langsamen Wandel vom Rätischen zum Rätoromanischen, bis zur Bestimmung der Ladiner, den kartografischen Zeugnissen und der Abfolge jener Gelehrten, die von Ascoli an die Ladinität unserer Täler anerkannt haben. Das emotionale Herz ist die Feldforschung von Massimo Paternoster. Was folgt, ist die Studie in ihrem vollen Umfang.</w:t>
            </w:r>
          </w:p>
        </w:tc>
      </w:tr>
      <w:tr>
        <w:tc>
          <w:tcPr>
            <w:tcW w:type="pct" w:w="50%"/>
            <w:tcMar>
              <w:top w:type="dxa" w:w="80"/>
              <w:left w:type="dxa" w:w="120"/>
              <w:bottom w:type="dxa" w:w="80"/>
              <w:right w:type="dxa" w:w="120"/>
            </w:tcMar>
          </w:tcPr>
          <w:p>
            <w:r>
              <w:rPr>
                <w:b w:val="false"/>
                <w:bCs w:val="false"/>
                <w:color w:val="000000"/>
                <w:sz w:val="21"/>
                <w:szCs w:val="21"/>
              </w:rPr>
              <w:t xml:space="preserve">L'importanza della storia</w:t>
            </w:r>
          </w:p>
        </w:tc>
        <w:tc>
          <w:tcPr>
            <w:tcW w:type="pct" w:w="50%"/>
            <w:tcMar>
              <w:top w:type="dxa" w:w="80"/>
              <w:left w:type="dxa" w:w="120"/>
              <w:bottom w:type="dxa" w:w="80"/>
              <w:right w:type="dxa" w:w="120"/>
            </w:tcMar>
          </w:tcPr>
          <w:p>
            <w:r>
              <w:rPr>
                <w:b w:val="false"/>
                <w:bCs w:val="false"/>
                <w:color w:val="000000"/>
                <w:sz w:val="21"/>
                <w:szCs w:val="21"/>
              </w:rPr>
              <w:t xml:space="preserve">Die Bedeutung der Geschichte</w:t>
            </w:r>
          </w:p>
        </w:tc>
      </w:tr>
      <w:tr>
        <w:tc>
          <w:tcPr>
            <w:tcW w:type="pct" w:w="50%"/>
            <w:tcMar>
              <w:top w:type="dxa" w:w="80"/>
              <w:left w:type="dxa" w:w="120"/>
              <w:bottom w:type="dxa" w:w="80"/>
              <w:right w:type="dxa" w:w="120"/>
            </w:tcMar>
          </w:tcPr>
          <w:p>
            <w:r>
              <w:rPr>
                <w:b w:val="false"/>
                <w:bCs w:val="false"/>
                <w:color w:val="000000"/>
                <w:sz w:val="21"/>
                <w:szCs w:val="21"/>
              </w:rPr>
              <w:t xml:space="preserve">La ricerca sulla quale si basa il documentario.</w:t>
            </w:r>
          </w:p>
        </w:tc>
        <w:tc>
          <w:tcPr>
            <w:tcW w:type="pct" w:w="50%"/>
            <w:tcMar>
              <w:top w:type="dxa" w:w="80"/>
              <w:left w:type="dxa" w:w="120"/>
              <w:bottom w:type="dxa" w:w="80"/>
              <w:right w:type="dxa" w:w="120"/>
            </w:tcMar>
          </w:tcPr>
          <w:p>
            <w:r>
              <w:rPr>
                <w:b w:val="false"/>
                <w:bCs w:val="false"/>
                <w:color w:val="000000"/>
                <w:sz w:val="21"/>
                <w:szCs w:val="21"/>
              </w:rPr>
              <w:t xml:space="preserve">Die Forschung, auf der der Dokumentarfilm beruht.</w:t>
            </w:r>
          </w:p>
        </w:tc>
      </w:tr>
      <w:tr>
        <w:tc>
          <w:tcPr>
            <w:tcW w:type="pct" w:w="50%"/>
            <w:tcMar>
              <w:top w:type="dxa" w:w="80"/>
              <w:left w:type="dxa" w:w="120"/>
              <w:bottom w:type="dxa" w:w="80"/>
              <w:right w:type="dxa" w:w="120"/>
            </w:tcMar>
          </w:tcPr>
          <w:p>
            <w:r>
              <w:rPr>
                <w:b w:val="false"/>
                <w:bCs w:val="false"/>
                <w:color w:val="000000"/>
                <w:sz w:val="21"/>
                <w:szCs w:val="21"/>
              </w:rPr>
              <w:t xml:space="preserve">I Reti</w:t>
            </w:r>
          </w:p>
        </w:tc>
        <w:tc>
          <w:tcPr>
            <w:tcW w:type="pct" w:w="50%"/>
            <w:tcMar>
              <w:top w:type="dxa" w:w="80"/>
              <w:left w:type="dxa" w:w="120"/>
              <w:bottom w:type="dxa" w:w="80"/>
              <w:right w:type="dxa" w:w="120"/>
            </w:tcMar>
          </w:tcPr>
          <w:p>
            <w:r>
              <w:rPr>
                <w:b w:val="false"/>
                <w:bCs w:val="false"/>
                <w:color w:val="000000"/>
                <w:sz w:val="21"/>
                <w:szCs w:val="21"/>
              </w:rPr>
              <w:t xml:space="preserve">Die Räter</w:t>
            </w:r>
          </w:p>
        </w:tc>
      </w:tr>
      <w:tr>
        <w:tc>
          <w:tcPr>
            <w:tcW w:type="pct" w:w="50%"/>
            <w:tcMar>
              <w:top w:type="dxa" w:w="80"/>
              <w:left w:type="dxa" w:w="120"/>
              <w:bottom w:type="dxa" w:w="80"/>
              <w:right w:type="dxa" w:w="120"/>
            </w:tcMar>
          </w:tcPr>
          <w:p>
            <w:r>
              <w:rPr>
                <w:b w:val="false"/>
                <w:bCs w:val="false"/>
                <w:color w:val="000000"/>
                <w:sz w:val="21"/>
                <w:szCs w:val="21"/>
              </w:rPr>
              <w:t xml:space="preserve">Intorno al 500 a.C. si assiste alla comparsa, in Trentino-Alto Adige, bassa Engadina e Vorarlberg, della cultura di Fritzens-Sanzeno, che prende il nome da due località poste, rispettivamente, nella Valle dell'Inn, in Austria, e in Val di Non in Trentino. Questa cultura nasce dallo sviluppo della precedente cultura di Luco arricchita di elementi provenienti dall'area padana.</w:t>
            </w:r>
          </w:p>
        </w:tc>
        <w:tc>
          <w:tcPr>
            <w:tcW w:type="pct" w:w="50%"/>
            <w:tcMar>
              <w:top w:type="dxa" w:w="80"/>
              <w:left w:type="dxa" w:w="120"/>
              <w:bottom w:type="dxa" w:w="80"/>
              <w:right w:type="dxa" w:w="120"/>
            </w:tcMar>
          </w:tcPr>
          <w:p>
            <w:r>
              <w:rPr>
                <w:b w:val="false"/>
                <w:bCs w:val="false"/>
                <w:color w:val="000000"/>
                <w:sz w:val="21"/>
                <w:szCs w:val="21"/>
              </w:rPr>
              <w:t xml:space="preserve">Um 500 v. Chr. tritt in Trentino-Südtirol, im Unterengadin und in Vorarlberg die Fritzens-Sanzeno-Kultur in Erscheinung, benannt nach zwei Orten, die im Inntal in Österreich beziehungsweise im Nonsberg im Trentino liegen. Diese Kultur entsteht aus der Weiterentwicklung der vorangegangenen Luco-Kultur, angereichert mit Elementen aus dem Poebenenraum.</w:t>
            </w:r>
          </w:p>
        </w:tc>
      </w:tr>
      <w:tr>
        <w:tc>
          <w:tcPr>
            <w:tcW w:type="pct" w:w="50%"/>
            <w:tcMar>
              <w:top w:type="dxa" w:w="80"/>
              <w:left w:type="dxa" w:w="120"/>
              <w:bottom w:type="dxa" w:w="80"/>
              <w:right w:type="dxa" w:w="120"/>
            </w:tcMar>
          </w:tcPr>
          <w:p>
            <w:r>
              <w:rPr>
                <w:b w:val="false"/>
                <w:bCs w:val="false"/>
                <w:color w:val="000000"/>
                <w:sz w:val="21"/>
                <w:szCs w:val="21"/>
              </w:rPr>
              <w:t xml:space="preserve">I Reti erano un popolo nativo dell'area alpina centro-orientale: bravi artigiani e pacifici montanari, che scendevano fino alla pianura veronese per barattare oggetti e bestiame. Ebbero contatti con gli Etruschi, dai quali impararono l'alfabeto, e con i Celti, ma etnicamente sono da considerare indigeni alpini. La politica espansionistica di Roma a danno dei popoli alpini fu coronata nel 16-15 a.C. con le guerre retiche, condotte vittoriosamente da Tiberio e Druso, i figli adottivi di Augusto.</w:t>
            </w:r>
          </w:p>
        </w:tc>
        <w:tc>
          <w:tcPr>
            <w:tcW w:type="pct" w:w="50%"/>
            <w:tcMar>
              <w:top w:type="dxa" w:w="80"/>
              <w:left w:type="dxa" w:w="120"/>
              <w:bottom w:type="dxa" w:w="80"/>
              <w:right w:type="dxa" w:w="120"/>
            </w:tcMar>
          </w:tcPr>
          <w:p>
            <w:r>
              <w:rPr>
                <w:b w:val="false"/>
                <w:bCs w:val="false"/>
                <w:color w:val="000000"/>
                <w:sz w:val="21"/>
                <w:szCs w:val="21"/>
              </w:rPr>
              <w:t xml:space="preserve">Die Räter waren ein im mittleren und östlichen Alpenraum heimisches Volk: geschickte Handwerker und friedliche Bergbewohner, die bis in die Veroneser Ebene hinabstiegen, um Gegenstände und Vieh zu tauschen. Sie hatten Kontakt zu den Etruskern, von denen sie das Alphabet lernten, und zu den Kelten, ethnisch aber sind sie als alpine Ureinwohner zu betrachten. Roms Ausdehnungspolitik zulasten der Alpenvölker wurde 16-15 v. Chr. mit den Räterkriegen gekrönt, die Tiberius und Drusus, die Adoptivsöhne des Augustus, siegreich führten.</w:t>
            </w:r>
          </w:p>
        </w:tc>
      </w:tr>
      <w:tr>
        <w:tc>
          <w:tcPr>
            <w:tcW w:type="pct" w:w="50%"/>
            <w:tcMar>
              <w:top w:type="dxa" w:w="80"/>
              <w:left w:type="dxa" w:w="120"/>
              <w:bottom w:type="dxa" w:w="80"/>
              <w:right w:type="dxa" w:w="120"/>
            </w:tcMar>
          </w:tcPr>
          <w:p>
            <w:r>
              <w:rPr>
                <w:b w:val="false"/>
                <w:bCs w:val="false"/>
                <w:color w:val="000000"/>
                <w:sz w:val="21"/>
                <w:szCs w:val="21"/>
              </w:rPr>
              <w:t xml:space="preserve">Scrittura e lingua</w:t>
            </w:r>
          </w:p>
        </w:tc>
        <w:tc>
          <w:tcPr>
            <w:tcW w:type="pct" w:w="50%"/>
            <w:tcMar>
              <w:top w:type="dxa" w:w="80"/>
              <w:left w:type="dxa" w:w="120"/>
              <w:bottom w:type="dxa" w:w="80"/>
              <w:right w:type="dxa" w:w="120"/>
            </w:tcMar>
          </w:tcPr>
          <w:p>
            <w:r>
              <w:rPr>
                <w:b w:val="false"/>
                <w:bCs w:val="false"/>
                <w:color w:val="000000"/>
                <w:sz w:val="21"/>
                <w:szCs w:val="21"/>
              </w:rPr>
              <w:t xml:space="preserve">Schrift und Sprache</w:t>
            </w:r>
          </w:p>
        </w:tc>
      </w:tr>
      <w:tr>
        <w:tc>
          <w:tcPr>
            <w:tcW w:type="pct" w:w="50%"/>
            <w:tcMar>
              <w:top w:type="dxa" w:w="80"/>
              <w:left w:type="dxa" w:w="120"/>
              <w:bottom w:type="dxa" w:w="80"/>
              <w:right w:type="dxa" w:w="120"/>
            </w:tcMar>
          </w:tcPr>
          <w:p>
            <w:r>
              <w:rPr>
                <w:b w:val="false"/>
                <w:bCs w:val="false"/>
                <w:color w:val="000000"/>
                <w:sz w:val="21"/>
                <w:szCs w:val="21"/>
              </w:rPr>
              <w:t xml:space="preserve">Musei retici</w:t>
            </w:r>
          </w:p>
        </w:tc>
        <w:tc>
          <w:tcPr>
            <w:tcW w:type="pct" w:w="50%"/>
            <w:tcMar>
              <w:top w:type="dxa" w:w="80"/>
              <w:left w:type="dxa" w:w="120"/>
              <w:bottom w:type="dxa" w:w="80"/>
              <w:right w:type="dxa" w:w="120"/>
            </w:tcMar>
          </w:tcPr>
          <w:p>
            <w:r>
              <w:rPr>
                <w:b w:val="false"/>
                <w:bCs w:val="false"/>
                <w:color w:val="000000"/>
                <w:sz w:val="21"/>
                <w:szCs w:val="21"/>
              </w:rPr>
              <w:t xml:space="preserve">Rätische Museen</w:t>
            </w:r>
          </w:p>
        </w:tc>
      </w:tr>
      <w:tr>
        <w:tc>
          <w:tcPr>
            <w:tcW w:type="pct" w:w="50%"/>
            <w:tcMar>
              <w:top w:type="dxa" w:w="80"/>
              <w:left w:type="dxa" w:w="120"/>
              <w:bottom w:type="dxa" w:w="80"/>
              <w:right w:type="dxa" w:w="120"/>
            </w:tcMar>
          </w:tcPr>
          <w:p>
            <w:r>
              <w:rPr>
                <w:b w:val="false"/>
                <w:bCs w:val="false"/>
                <w:color w:val="000000"/>
                <w:sz w:val="21"/>
                <w:szCs w:val="21"/>
              </w:rPr>
              <w:t xml:space="preserve">I Romani</w:t>
            </w:r>
          </w:p>
        </w:tc>
        <w:tc>
          <w:tcPr>
            <w:tcW w:type="pct" w:w="50%"/>
            <w:tcMar>
              <w:top w:type="dxa" w:w="80"/>
              <w:left w:type="dxa" w:w="120"/>
              <w:bottom w:type="dxa" w:w="80"/>
              <w:right w:type="dxa" w:w="120"/>
            </w:tcMar>
          </w:tcPr>
          <w:p>
            <w:r>
              <w:rPr>
                <w:b w:val="false"/>
                <w:bCs w:val="false"/>
                <w:color w:val="000000"/>
                <w:sz w:val="21"/>
                <w:szCs w:val="21"/>
              </w:rPr>
              <w:t xml:space="preserve">Die Römer</w:t>
            </w:r>
          </w:p>
        </w:tc>
      </w:tr>
      <w:tr>
        <w:tc>
          <w:tcPr>
            <w:tcW w:type="pct" w:w="50%"/>
            <w:tcMar>
              <w:top w:type="dxa" w:w="80"/>
              <w:left w:type="dxa" w:w="120"/>
              <w:bottom w:type="dxa" w:w="80"/>
              <w:right w:type="dxa" w:w="120"/>
            </w:tcMar>
          </w:tcPr>
          <w:p>
            <w:r>
              <w:rPr>
                <w:b w:val="false"/>
                <w:bCs w:val="false"/>
                <w:color w:val="000000"/>
                <w:sz w:val="21"/>
                <w:szCs w:val="21"/>
              </w:rPr>
              <w:t xml:space="preserve">Dal retico al retoromanzo attraverso il latino volgare</w:t>
            </w:r>
          </w:p>
        </w:tc>
        <w:tc>
          <w:tcPr>
            <w:tcW w:type="pct" w:w="50%"/>
            <w:tcMar>
              <w:top w:type="dxa" w:w="80"/>
              <w:left w:type="dxa" w:w="120"/>
              <w:bottom w:type="dxa" w:w="80"/>
              <w:right w:type="dxa" w:w="120"/>
            </w:tcMar>
          </w:tcPr>
          <w:p>
            <w:r>
              <w:rPr>
                <w:b w:val="false"/>
                <w:bCs w:val="false"/>
                <w:color w:val="000000"/>
                <w:sz w:val="21"/>
                <w:szCs w:val="21"/>
              </w:rPr>
              <w:t xml:space="preserve">Vom Rätischen zum Rätoromanischen über das Vulgärlatein</w:t>
            </w:r>
          </w:p>
        </w:tc>
      </w:tr>
      <w:tr>
        <w:tc>
          <w:tcPr>
            <w:tcW w:type="pct" w:w="50%"/>
            <w:tcMar>
              <w:top w:type="dxa" w:w="80"/>
              <w:left w:type="dxa" w:w="120"/>
              <w:bottom w:type="dxa" w:w="80"/>
              <w:right w:type="dxa" w:w="120"/>
            </w:tcMar>
          </w:tcPr>
          <w:p>
            <w:r>
              <w:rPr>
                <w:b w:val="false"/>
                <w:bCs w:val="false"/>
                <w:color w:val="000000"/>
                <w:sz w:val="21"/>
                <w:szCs w:val="21"/>
              </w:rPr>
              <w:t xml:space="preserve">I Ladini</w:t>
            </w:r>
          </w:p>
        </w:tc>
        <w:tc>
          <w:tcPr>
            <w:tcW w:type="pct" w:w="50%"/>
            <w:tcMar>
              <w:top w:type="dxa" w:w="80"/>
              <w:left w:type="dxa" w:w="120"/>
              <w:bottom w:type="dxa" w:w="80"/>
              <w:right w:type="dxa" w:w="120"/>
            </w:tcMar>
          </w:tcPr>
          <w:p>
            <w:r>
              <w:rPr>
                <w:b w:val="false"/>
                <w:bCs w:val="false"/>
                <w:color w:val="000000"/>
                <w:sz w:val="21"/>
                <w:szCs w:val="21"/>
              </w:rPr>
              <w:t xml:space="preserve">Die Ladiner</w:t>
            </w:r>
          </w:p>
        </w:tc>
      </w:tr>
      <w:tr>
        <w:tc>
          <w:tcPr>
            <w:tcW w:type="pct" w:w="50%"/>
            <w:tcMar>
              <w:top w:type="dxa" w:w="80"/>
              <w:left w:type="dxa" w:w="120"/>
              <w:bottom w:type="dxa" w:w="80"/>
              <w:right w:type="dxa" w:w="120"/>
            </w:tcMar>
          </w:tcPr>
          <w:p>
            <w:r>
              <w:rPr>
                <w:b w:val="false"/>
                <w:bCs w:val="false"/>
                <w:color w:val="000000"/>
                <w:sz w:val="21"/>
                <w:szCs w:val="21"/>
              </w:rPr>
              <w:t xml:space="preserve">Il termine ladino fa il suo ingresso nel mondo della ricerca con il linguista Graziadio Isaia Ascoli (1829-1907), il primo ad analizzare in modo sistematico le lingue parlate nelle Alpi e a riconoscere legami e affinità tra le parlate friulane, dolomitiche e romance, raggruppandole nel retoromanzo e formulando la teoria dell'unità ladina.</w:t>
            </w:r>
          </w:p>
        </w:tc>
        <w:tc>
          <w:tcPr>
            <w:tcW w:type="pct" w:w="50%"/>
            <w:tcMar>
              <w:top w:type="dxa" w:w="80"/>
              <w:left w:type="dxa" w:w="120"/>
              <w:bottom w:type="dxa" w:w="80"/>
              <w:right w:type="dxa" w:w="120"/>
            </w:tcMar>
          </w:tcPr>
          <w:p>
            <w:r>
              <w:rPr>
                <w:b w:val="false"/>
                <w:bCs w:val="false"/>
                <w:color w:val="000000"/>
                <w:sz w:val="21"/>
                <w:szCs w:val="21"/>
              </w:rPr>
              <w:t xml:space="preserve">Der Begriff ladin hält Einzug in die Welt der Forschung mit dem Sprachwissenschaftler Graziadio Isaia Ascoli (1829-1907), dem Ersten, der die in den Alpen gesprochenen Sprachen systematisch untersuchte und Verbindungen und Verwandtschaften zwischen den friaulischen, dolomitischen und bündnerischen Sprechweisen erkannte, sie im Rätoromanischen zusammenfasste und die Theorie der ladinischen Einheit aufstellte.</w:t>
            </w:r>
          </w:p>
        </w:tc>
      </w:tr>
      <w:tr>
        <w:tc>
          <w:tcPr>
            <w:tcW w:type="pct" w:w="50%"/>
            <w:tcMar>
              <w:top w:type="dxa" w:w="80"/>
              <w:left w:type="dxa" w:w="120"/>
              <w:bottom w:type="dxa" w:w="80"/>
              <w:right w:type="dxa" w:w="120"/>
            </w:tcMar>
          </w:tcPr>
          <w:p>
            <w:r>
              <w:rPr>
                <w:b w:val="false"/>
                <w:bCs w:val="false"/>
                <w:color w:val="000000"/>
                <w:sz w:val="21"/>
                <w:szCs w:val="21"/>
              </w:rPr>
              <w:t xml:space="preserve">Ed è lo stesso Ascoli, nei suoi Saggi Ladini, a identificare queste aree residue, che vanno dalla Svizzera romanza ai ladini del Gruppo di Sella, fino a quelli che egli chiama i ladini occidentali, e cioè i nonesi e i solandri.</w:t>
            </w:r>
          </w:p>
        </w:tc>
        <w:tc>
          <w:tcPr>
            <w:tcW w:type="pct" w:w="50%"/>
            <w:tcMar>
              <w:top w:type="dxa" w:w="80"/>
              <w:left w:type="dxa" w:w="120"/>
              <w:bottom w:type="dxa" w:w="80"/>
              <w:right w:type="dxa" w:w="120"/>
            </w:tcMar>
          </w:tcPr>
          <w:p>
            <w:r>
              <w:rPr>
                <w:b w:val="false"/>
                <w:bCs w:val="false"/>
                <w:color w:val="000000"/>
                <w:sz w:val="21"/>
                <w:szCs w:val="21"/>
              </w:rPr>
              <w:t xml:space="preserve">Und es ist Ascoli selbst, der in seinen Saggi Ladini diese verbliebenen Gebiete bestimmt, die von der romanischen Schweiz über die Ladiner der Sellagruppe bis zu jenen reichen, die er die westlichen Ladiner, nämlich die Anaunier und die Sulzberger nennt.</w:t>
            </w:r>
          </w:p>
        </w:tc>
      </w:tr>
      <w:tr>
        <w:tc>
          <w:tcPr>
            <w:tcW w:type="pct" w:w="50%"/>
            <w:tcMar>
              <w:top w:type="dxa" w:w="80"/>
              <w:left w:type="dxa" w:w="120"/>
              <w:bottom w:type="dxa" w:w="80"/>
              <w:right w:type="dxa" w:w="120"/>
            </w:tcMar>
          </w:tcPr>
          <w:p>
            <w:r>
              <w:rPr>
                <w:b w:val="false"/>
                <w:bCs w:val="false"/>
                <w:color w:val="000000"/>
                <w:sz w:val="21"/>
                <w:szCs w:val="21"/>
              </w:rPr>
              <w:t xml:space="preserve">Le tappe della «questione ladina» per Non e Sole</w:t>
            </w:r>
          </w:p>
        </w:tc>
        <w:tc>
          <w:tcPr>
            <w:tcW w:type="pct" w:w="50%"/>
            <w:tcMar>
              <w:top w:type="dxa" w:w="80"/>
              <w:left w:type="dxa" w:w="120"/>
              <w:bottom w:type="dxa" w:w="80"/>
              <w:right w:type="dxa" w:w="120"/>
            </w:tcMar>
          </w:tcPr>
          <w:p>
            <w:r>
              <w:rPr>
                <w:b w:val="false"/>
                <w:bCs w:val="false"/>
                <w:color w:val="000000"/>
                <w:sz w:val="21"/>
                <w:szCs w:val="21"/>
              </w:rPr>
              <w:t xml:space="preserve">Die Etappen der «ladinischen Frage» für Nonsberg und Sulzberg</w:t>
            </w:r>
          </w:p>
        </w:tc>
      </w:tr>
      <w:tr>
        <w:tc>
          <w:tcPr>
            <w:tcW w:type="pct" w:w="50%"/>
            <w:tcMar>
              <w:top w:type="dxa" w:w="80"/>
              <w:left w:type="dxa" w:w="120"/>
              <w:bottom w:type="dxa" w:w="80"/>
              <w:right w:type="dxa" w:w="120"/>
            </w:tcMar>
          </w:tcPr>
          <w:p>
            <w:r>
              <w:rPr>
                <w:b w:val="false"/>
                <w:bCs w:val="false"/>
                <w:color w:val="000000"/>
                <w:sz w:val="21"/>
                <w:szCs w:val="21"/>
              </w:rPr>
              <w:t xml:space="preserve">Cartine che testimoniano la ladinità delle Valli del Noce</w:t>
            </w:r>
          </w:p>
        </w:tc>
        <w:tc>
          <w:tcPr>
            <w:tcW w:type="pct" w:w="50%"/>
            <w:tcMar>
              <w:top w:type="dxa" w:w="80"/>
              <w:left w:type="dxa" w:w="120"/>
              <w:bottom w:type="dxa" w:w="80"/>
              <w:right w:type="dxa" w:w="120"/>
            </w:tcMar>
          </w:tcPr>
          <w:p>
            <w:r>
              <w:rPr>
                <w:b w:val="false"/>
                <w:bCs w:val="false"/>
                <w:color w:val="000000"/>
                <w:sz w:val="21"/>
                <w:szCs w:val="21"/>
              </w:rPr>
              <w:t xml:space="preserve">Karten, die die Ladinität der Täler des Noce bezeugen</w:t>
            </w:r>
          </w:p>
        </w:tc>
      </w:tr>
      <w:tr>
        <w:tc>
          <w:tcPr>
            <w:tcW w:type="pct" w:w="50%"/>
            <w:tcMar>
              <w:top w:type="dxa" w:w="80"/>
              <w:left w:type="dxa" w:w="120"/>
              <w:bottom w:type="dxa" w:w="80"/>
              <w:right w:type="dxa" w:w="120"/>
            </w:tcMar>
          </w:tcPr>
          <w:p>
            <w:r>
              <w:rPr>
                <w:b w:val="false"/>
                <w:bCs w:val="false"/>
                <w:color w:val="000000"/>
                <w:sz w:val="21"/>
                <w:szCs w:val="21"/>
              </w:rPr>
              <w:t xml:space="preserve">Cartina del Trentino divisa per dialetti, dal progetto ALD a cura del prof. Roland Bauer e del prof. Hans Goebl (Università di Salisburgo). Licenza CC BY-SA 4.0.</w:t>
            </w:r>
          </w:p>
        </w:tc>
        <w:tc>
          <w:tcPr>
            <w:tcW w:type="pct" w:w="50%"/>
            <w:tcMar>
              <w:top w:type="dxa" w:w="80"/>
              <w:left w:type="dxa" w:w="120"/>
              <w:bottom w:type="dxa" w:w="80"/>
              <w:right w:type="dxa" w:w="120"/>
            </w:tcMar>
          </w:tcPr>
          <w:p>
            <w:r>
              <w:rPr>
                <w:b w:val="false"/>
                <w:bCs w:val="false"/>
                <w:color w:val="000000"/>
                <w:sz w:val="21"/>
                <w:szCs w:val="21"/>
              </w:rPr>
              <w:t xml:space="preserve">Karte des nach Mundarten gegliederten Trentino, aus dem ALD-Projekt, betreut von Prof. Roland Bauer und Prof. Hans Goebl (Universität Salzburg). Lizenz CC BY-SA 4.0.</w:t>
            </w:r>
          </w:p>
        </w:tc>
      </w:tr>
      <w:tr>
        <w:tc>
          <w:tcPr>
            <w:tcW w:type="pct" w:w="50%"/>
            <w:tcMar>
              <w:top w:type="dxa" w:w="80"/>
              <w:left w:type="dxa" w:w="120"/>
              <w:bottom w:type="dxa" w:w="80"/>
              <w:right w:type="dxa" w:w="120"/>
            </w:tcMar>
          </w:tcPr>
          <w:p>
            <w:r>
              <w:rPr>
                <w:b w:val="false"/>
                <w:bCs w:val="false"/>
                <w:color w:val="000000"/>
                <w:sz w:val="21"/>
                <w:szCs w:val="21"/>
              </w:rPr>
              <w:t xml:space="preserve">Le ricerche grammaticali</w:t>
            </w:r>
          </w:p>
        </w:tc>
        <w:tc>
          <w:tcPr>
            <w:tcW w:type="pct" w:w="50%"/>
            <w:tcMar>
              <w:top w:type="dxa" w:w="80"/>
              <w:left w:type="dxa" w:w="120"/>
              <w:bottom w:type="dxa" w:w="80"/>
              <w:right w:type="dxa" w:w="120"/>
            </w:tcMar>
          </w:tcPr>
          <w:p>
            <w:r>
              <w:rPr>
                <w:b w:val="false"/>
                <w:bCs w:val="false"/>
                <w:color w:val="000000"/>
                <w:sz w:val="21"/>
                <w:szCs w:val="21"/>
              </w:rPr>
              <w:t xml:space="preserve">Die grammatikalischen Forschungen</w:t>
            </w:r>
          </w:p>
        </w:tc>
      </w:tr>
      <w:tr>
        <w:tc>
          <w:tcPr>
            <w:tcW w:type="pct" w:w="50%"/>
            <w:tcMar>
              <w:top w:type="dxa" w:w="80"/>
              <w:left w:type="dxa" w:w="120"/>
              <w:bottom w:type="dxa" w:w="80"/>
              <w:right w:type="dxa" w:w="120"/>
            </w:tcMar>
          </w:tcPr>
          <w:p>
            <w:r>
              <w:rPr>
                <w:b w:val="false"/>
                <w:bCs w:val="false"/>
                <w:color w:val="000000"/>
                <w:sz w:val="21"/>
                <w:szCs w:val="21"/>
              </w:rPr>
              <w:t xml:space="preserve">La ricerca sul campo di Massimo Paternoster</w:t>
            </w:r>
          </w:p>
        </w:tc>
        <w:tc>
          <w:tcPr>
            <w:tcW w:type="pct" w:w="50%"/>
            <w:tcMar>
              <w:top w:type="dxa" w:w="80"/>
              <w:left w:type="dxa" w:w="120"/>
              <w:bottom w:type="dxa" w:w="80"/>
              <w:right w:type="dxa" w:w="120"/>
            </w:tcMar>
          </w:tcPr>
          <w:p>
            <w:r>
              <w:rPr>
                <w:b w:val="false"/>
                <w:bCs w:val="false"/>
                <w:color w:val="000000"/>
                <w:sz w:val="21"/>
                <w:szCs w:val="21"/>
              </w:rPr>
              <w:t xml:space="preserve">Die Feldforschung von Massimo Paternoster</w:t>
            </w:r>
          </w:p>
        </w:tc>
      </w:tr>
      <w:tr>
        <w:tc>
          <w:tcPr>
            <w:tcW w:type="pct" w:w="50%"/>
            <w:tcMar>
              <w:top w:type="dxa" w:w="80"/>
              <w:left w:type="dxa" w:w="120"/>
              <w:bottom w:type="dxa" w:w="80"/>
              <w:right w:type="dxa" w:w="120"/>
            </w:tcMar>
          </w:tcPr>
          <w:p>
            <w:r>
              <w:rPr>
                <w:b w:val="false"/>
                <w:bCs w:val="false"/>
                <w:color w:val="000000"/>
                <w:sz w:val="21"/>
                <w:szCs w:val="21"/>
              </w:rPr>
              <w:t xml:space="preserve">Solo dopo la spiegazione del motivo dell'intervista e la consultazione dei documenti che dimostravano la veridicità delle registrazioni, gli intervistati si capacitavano della verità: che quel «nones» era in realtà «ladino moenat» e «ladino brach».</w:t>
            </w:r>
          </w:p>
        </w:tc>
        <w:tc>
          <w:tcPr>
            <w:tcW w:type="pct" w:w="50%"/>
            <w:tcMar>
              <w:top w:type="dxa" w:w="80"/>
              <w:left w:type="dxa" w:w="120"/>
              <w:bottom w:type="dxa" w:w="80"/>
              <w:right w:type="dxa" w:w="120"/>
            </w:tcMar>
          </w:tcPr>
          <w:p>
            <w:r>
              <w:rPr>
                <w:b w:val="false"/>
                <w:bCs w:val="false"/>
                <w:color w:val="000000"/>
                <w:sz w:val="21"/>
                <w:szCs w:val="21"/>
              </w:rPr>
              <w:t xml:space="preserve">Erst nach der Erklärung des Grundes für das Interview und der Einsicht in die Dokumente, die den Wahrheitsgehalt der Aufnahmen belegten, fügten sich die Befragten der Wahrheit: dass jenes «Anaunische» in Wirklichkeit «Moenat-Ladinisch» und «Brach-Ladinisch» war.</w:t>
            </w:r>
          </w:p>
        </w:tc>
      </w:tr>
      <w:tr>
        <w:tc>
          <w:tcPr>
            <w:tcW w:type="pct" w:w="50%"/>
            <w:tcMar>
              <w:top w:type="dxa" w:w="80"/>
              <w:left w:type="dxa" w:w="120"/>
              <w:bottom w:type="dxa" w:w="80"/>
              <w:right w:type="dxa" w:w="120"/>
            </w:tcMar>
          </w:tcPr>
          <w:p>
            <w:r>
              <w:rPr>
                <w:b w:val="false"/>
                <w:bCs w:val="false"/>
                <w:color w:val="000000"/>
                <w:sz w:val="21"/>
                <w:szCs w:val="21"/>
              </w:rPr>
              <w:t xml:space="preserve">Note</w:t>
            </w:r>
          </w:p>
        </w:tc>
        <w:tc>
          <w:tcPr>
            <w:tcW w:type="pct" w:w="50%"/>
            <w:tcMar>
              <w:top w:type="dxa" w:w="80"/>
              <w:left w:type="dxa" w:w="120"/>
              <w:bottom w:type="dxa" w:w="80"/>
              <w:right w:type="dxa" w:w="120"/>
            </w:tcMar>
          </w:tcPr>
          <w:p>
            <w:r>
              <w:rPr>
                <w:b w:val="false"/>
                <w:bCs w:val="false"/>
                <w:color w:val="000000"/>
                <w:sz w:val="21"/>
                <w:szCs w:val="21"/>
              </w:rPr>
              <w:t xml:space="preserve">Anmerkungen</w:t>
            </w:r>
          </w:p>
        </w:tc>
      </w:tr>
      <w:tr>
        <w:tc>
          <w:tcPr>
            <w:tcW w:type="pct" w:w="50%"/>
            <w:tcMar>
              <w:top w:type="dxa" w:w="80"/>
              <w:left w:type="dxa" w:w="120"/>
              <w:bottom w:type="dxa" w:w="80"/>
              <w:right w:type="dxa" w:w="120"/>
            </w:tcMar>
          </w:tcPr>
          <w:p>
            <w:r>
              <w:rPr>
                <w:b w:val="false"/>
                <w:bCs w:val="false"/>
                <w:color w:val="000000"/>
                <w:sz w:val="21"/>
                <w:szCs w:val="21"/>
              </w:rPr>
              <w:t xml:space="preserve">Un lavoro corale</w:t>
            </w:r>
          </w:p>
        </w:tc>
        <w:tc>
          <w:tcPr>
            <w:tcW w:type="pct" w:w="50%"/>
            <w:tcMar>
              <w:top w:type="dxa" w:w="80"/>
              <w:left w:type="dxa" w:w="120"/>
              <w:bottom w:type="dxa" w:w="80"/>
              <w:right w:type="dxa" w:w="120"/>
            </w:tcMar>
          </w:tcPr>
          <w:p>
            <w:r>
              <w:rPr>
                <w:b w:val="false"/>
                <w:bCs w:val="false"/>
                <w:color w:val="000000"/>
                <w:sz w:val="21"/>
                <w:szCs w:val="21"/>
              </w:rPr>
              <w:t xml:space="preserve">Ein Werk vieler Hände</w:t>
            </w:r>
          </w:p>
        </w:tc>
      </w:tr>
      <w:tr>
        <w:tc>
          <w:tcPr>
            <w:tcW w:type="pct" w:w="50%"/>
            <w:tcMar>
              <w:top w:type="dxa" w:w="80"/>
              <w:left w:type="dxa" w:w="120"/>
              <w:bottom w:type="dxa" w:w="80"/>
              <w:right w:type="dxa" w:w="120"/>
            </w:tcMar>
          </w:tcPr>
          <w:p>
            <w:r>
              <w:rPr>
                <w:b w:val="false"/>
                <w:bCs w:val="false"/>
                <w:color w:val="000000"/>
                <w:sz w:val="21"/>
                <w:szCs w:val="21"/>
              </w:rPr>
              <w:t xml:space="preserve">Fiöi dal Nos è nato dal lavoro del Direttivo e dei soci di El Brenz di allora, con la ricerca sul campo e l'analisi delle registrazioni curate da Massimo Paternoster. A tutti coloro che, in quei due anni, hanno dato tempo, competenze e passione, va il riconoscimento di aver costruito qualcosa che dura.</w:t>
            </w:r>
          </w:p>
        </w:tc>
        <w:tc>
          <w:tcPr>
            <w:tcW w:type="pct" w:w="50%"/>
            <w:tcMar>
              <w:top w:type="dxa" w:w="80"/>
              <w:left w:type="dxa" w:w="120"/>
              <w:bottom w:type="dxa" w:w="80"/>
              <w:right w:type="dxa" w:w="120"/>
            </w:tcMar>
          </w:tcPr>
          <w:p>
            <w:r>
              <w:rPr>
                <w:b w:val="false"/>
                <w:bCs w:val="false"/>
                <w:color w:val="000000"/>
                <w:sz w:val="21"/>
                <w:szCs w:val="21"/>
              </w:rPr>
              <w:t xml:space="preserve">Fiöi dal Nos ist aus der Arbeit des damaligen Vorstands und der Mitglieder von El Brenz entstanden, mit der von Massimo Paternoster betreuten Feldforschung und Auswertung der Aufnahmen. Allen, die in jenen zwei Jahren Zeit, Können und Leidenschaft gegeben haben, gebührt die Anerkennung, etwas Dauerhaftes geschaffen zu haben.</w:t>
            </w:r>
          </w:p>
        </w:tc>
      </w:tr>
      <w:tr>
        <w:tc>
          <w:tcPr>
            <w:tcW w:type="pct" w:w="50%"/>
            <w:tcMar>
              <w:top w:type="dxa" w:w="80"/>
              <w:left w:type="dxa" w:w="120"/>
              <w:bottom w:type="dxa" w:w="80"/>
              <w:right w:type="dxa" w:w="120"/>
            </w:tcMar>
          </w:tcPr>
          <w:p>
            <w:r>
              <w:rPr>
                <w:b w:val="false"/>
                <w:bCs w:val="false"/>
                <w:color w:val="000000"/>
                <w:sz w:val="21"/>
                <w:szCs w:val="21"/>
              </w:rPr>
              <w:t xml:space="preserve">Le radici non gelano</w:t>
            </w:r>
          </w:p>
        </w:tc>
        <w:tc>
          <w:tcPr>
            <w:tcW w:type="pct" w:w="50%"/>
            <w:tcMar>
              <w:top w:type="dxa" w:w="80"/>
              <w:left w:type="dxa" w:w="120"/>
              <w:bottom w:type="dxa" w:w="80"/>
              <w:right w:type="dxa" w:w="120"/>
            </w:tcMar>
          </w:tcPr>
          <w:p>
            <w:r>
              <w:rPr>
                <w:b w:val="false"/>
                <w:bCs w:val="false"/>
                <w:color w:val="000000"/>
                <w:sz w:val="21"/>
                <w:szCs w:val="21"/>
              </w:rPr>
              <w:t xml:space="preserve">Wurzeln erfrieren nicht</w:t>
            </w:r>
          </w:p>
        </w:tc>
      </w:tr>
      <w:tr>
        <w:tc>
          <w:tcPr>
            <w:tcW w:type="pct" w:w="50%"/>
            <w:tcMar>
              <w:top w:type="dxa" w:w="80"/>
              <w:left w:type="dxa" w:w="120"/>
              <w:bottom w:type="dxa" w:w="80"/>
              <w:right w:type="dxa" w:w="120"/>
            </w:tcMar>
          </w:tcPr>
          <w:p>
            <w:r>
              <w:rPr>
                <w:b w:val="false"/>
                <w:bCs w:val="false"/>
                <w:color w:val="000000"/>
                <w:sz w:val="21"/>
                <w:szCs w:val="21"/>
              </w:rPr>
              <w:t xml:space="preserve">Oltre un decennio dopo, le domande di Fiöi dal Nos non solo restano aperte: hanno trovato nuovi modi per farsi ascoltare. La ricerca linguistica continua con l'Atlante del Ladino, la memoria degli anziani troverà casa nella Mediateca, e la nosa parlada ha oggi persino un assistente digitale. Questo documentario resta il punto da cui tutto è partito.</w:t>
            </w:r>
          </w:p>
        </w:tc>
        <w:tc>
          <w:tcPr>
            <w:tcW w:type="pct" w:w="50%"/>
            <w:tcMar>
              <w:top w:type="dxa" w:w="80"/>
              <w:left w:type="dxa" w:w="120"/>
              <w:bottom w:type="dxa" w:w="80"/>
              <w:right w:type="dxa" w:w="120"/>
            </w:tcMar>
          </w:tcPr>
          <w:p>
            <w:r>
              <w:rPr>
                <w:b w:val="false"/>
                <w:bCs w:val="false"/>
                <w:color w:val="000000"/>
                <w:sz w:val="21"/>
                <w:szCs w:val="21"/>
              </w:rPr>
              <w:t xml:space="preserve">Über ein Jahrzehnt später bleiben die Fragen von Fiöi dal Nos nicht nur offen: Sie haben neue Wege gefunden, sich Gehör zu verschaffen. Die sprachwissenschaftliche Forschung geht mit dem Atlas des Ladinischen weiter, das Gedächtnis der Alten wird in der Mediathek ein Zuhause finden, und die nosa parlada hat heute sogar einen digitalen Assistenten. Dieser Dokumentarfilm bleibt der Punkt, von dem alles ausgegangen ist.</w:t>
            </w:r>
          </w:p>
        </w:tc>
      </w:tr>
      <w:tr>
        <w:tc>
          <w:tcPr>
            <w:tcW w:type="pct" w:w="50%"/>
            <w:tcMar>
              <w:top w:type="dxa" w:w="80"/>
              <w:left w:type="dxa" w:w="120"/>
              <w:bottom w:type="dxa" w:w="80"/>
              <w:right w:type="dxa" w:w="120"/>
            </w:tcMar>
          </w:tcPr>
          <w:p>
            <w:r>
              <w:rPr>
                <w:b w:val="false"/>
                <w:bCs w:val="false"/>
                <w:color w:val="000000"/>
                <w:sz w:val="21"/>
                <w:szCs w:val="21"/>
              </w:rPr>
              <w:t xml:space="preserve">Raìs fonde no le 'nglacia.</w:t>
            </w:r>
          </w:p>
        </w:tc>
        <w:tc>
          <w:tcPr>
            <w:tcW w:type="pct" w:w="50%"/>
            <w:tcMar>
              <w:top w:type="dxa" w:w="80"/>
              <w:left w:type="dxa" w:w="120"/>
              <w:bottom w:type="dxa" w:w="80"/>
              <w:right w:type="dxa" w:w="120"/>
            </w:tcMar>
          </w:tcPr>
          <w:p>
            <w:r>
              <w:rPr>
                <w:b w:val="false"/>
                <w:bCs w:val="false"/>
                <w:color w:val="000000"/>
                <w:sz w:val="21"/>
                <w:szCs w:val="21"/>
              </w:rPr>
              <w:t xml:space="preserve">Raìs fonde no le 'nglacia. (Tiefe Wurzeln erfrieren nicht.)</w:t>
            </w:r>
          </w:p>
        </w:tc>
      </w:tr>
      <w:tr>
        <w:tc>
          <w:tcPr>
            <w:tcW w:type="pct" w:w="50%"/>
            <w:tcMar>
              <w:top w:type="dxa" w:w="80"/>
              <w:left w:type="dxa" w:w="120"/>
              <w:bottom w:type="dxa" w:w="80"/>
              <w:right w:type="dxa" w:w="120"/>
            </w:tcMar>
          </w:tcPr>
          <w:p>
            <w:r>
              <w:rPr>
                <w:b w:val="false"/>
                <w:bCs w:val="false"/>
                <w:color w:val="000000"/>
                <w:sz w:val="21"/>
                <w:szCs w:val="21"/>
              </w:rPr>
              <w:t xml:space="preserve">«Fiöi dal Nos. Ladinità nonesa e solandra: cultura e lingua» · documentario dell'Associazione Storico Culturale Linguistica El Brenz delle Valli del Noce (2015). Video sul canale YouTube ufficiale di El Brenz. Le testimonianze cartografiche citate nello studio saranno riproposte nella pagina man mano che ne verificheremo le licenze.</w:t>
            </w:r>
          </w:p>
        </w:tc>
        <w:tc>
          <w:tcPr>
            <w:tcW w:type="pct" w:w="50%"/>
            <w:tcMar>
              <w:top w:type="dxa" w:w="80"/>
              <w:left w:type="dxa" w:w="120"/>
              <w:bottom w:type="dxa" w:w="80"/>
              <w:right w:type="dxa" w:w="120"/>
            </w:tcMar>
          </w:tcPr>
          <w:p>
            <w:r>
              <w:rPr>
                <w:b w:val="false"/>
                <w:bCs w:val="false"/>
                <w:color w:val="000000"/>
                <w:sz w:val="21"/>
                <w:szCs w:val="21"/>
              </w:rPr>
              <w:t xml:space="preserve">«Fiöi dal Nos. Ladinität von Nonsberg und Sulzberg: Kultur und Sprache» · Dokumentarfilm der Associazione Storico Culturale Linguistica El Brenz delle Valli del Noce (2015). Video auf dem offiziellen YouTube-Kanal von El Brenz. Die in der Studie angeführten kartografischen Zeugnisse werden auf dieser Seite nach und nach wieder aufgenommen, sobald wir ihre Lizenzen geprüft haben.</w:t>
            </w:r>
          </w:p>
        </w:tc>
      </w:tr>
      <w:tr>
        <w:tc>
          <w:tcPr>
            <w:tcW w:type="pct" w:w="50%"/>
            <w:tcMar>
              <w:top w:type="dxa" w:w="80"/>
              <w:left w:type="dxa" w:w="120"/>
              <w:bottom w:type="dxa" w:w="80"/>
              <w:right w:type="dxa" w:w="120"/>
            </w:tcMar>
          </w:tcPr>
          <w:p>
            <w:r>
              <w:rPr>
                <w:b w:val="false"/>
                <w:bCs w:val="false"/>
                <w:color w:val="000000"/>
                <w:sz w:val="21"/>
                <w:szCs w:val="21"/>
              </w:rPr>
              <w:t xml:space="preserve">Ti è piaciuto?</w:t>
            </w:r>
          </w:p>
        </w:tc>
        <w:tc>
          <w:tcPr>
            <w:tcW w:type="pct" w:w="50%"/>
            <w:tcMar>
              <w:top w:type="dxa" w:w="80"/>
              <w:left w:type="dxa" w:w="120"/>
              <w:bottom w:type="dxa" w:w="80"/>
              <w:right w:type="dxa" w:w="120"/>
            </w:tcMar>
          </w:tcPr>
          <w:p>
            <w:r>
              <w:rPr>
                <w:b w:val="false"/>
                <w:bCs w:val="false"/>
                <w:color w:val="000000"/>
                <w:sz w:val="21"/>
                <w:szCs w:val="21"/>
              </w:rPr>
              <w:t xml:space="preserve">Hat es euch gefallen?</w:t>
            </w:r>
          </w:p>
        </w:tc>
      </w:tr>
      <w:tr>
        <w:tc>
          <w:tcPr>
            <w:tcW w:type="pct" w:w="50%"/>
            <w:tcMar>
              <w:top w:type="dxa" w:w="80"/>
              <w:left w:type="dxa" w:w="120"/>
              <w:bottom w:type="dxa" w:w="80"/>
              <w:right w:type="dxa" w:w="120"/>
            </w:tcMar>
          </w:tcPr>
          <w:p>
            <w:r>
              <w:rPr>
                <w:b w:val="false"/>
                <w:bCs w:val="false"/>
                <w:color w:val="000000"/>
                <w:sz w:val="21"/>
                <w:szCs w:val="21"/>
              </w:rPr>
              <w:t xml:space="preserve">Resta in contatto con El Brenz: eventi, nuove ricerche, la memoria delle nostre valli.</w:t>
            </w:r>
          </w:p>
        </w:tc>
        <w:tc>
          <w:tcPr>
            <w:tcW w:type="pct" w:w="50%"/>
            <w:tcMar>
              <w:top w:type="dxa" w:w="80"/>
              <w:left w:type="dxa" w:w="120"/>
              <w:bottom w:type="dxa" w:w="80"/>
              <w:right w:type="dxa" w:w="120"/>
            </w:tcMar>
          </w:tcPr>
          <w:p>
            <w:r>
              <w:rPr>
                <w:b w:val="false"/>
                <w:bCs w:val="false"/>
                <w:color w:val="000000"/>
                <w:sz w:val="21"/>
                <w:szCs w:val="21"/>
              </w:rPr>
              <w:t xml:space="preserve">Bleibt mit El Brenz in Kontakt: Veranstaltungen, neue Forschungen, das Gedächtnis unserer Täler.</w:t>
            </w:r>
          </w:p>
        </w:tc>
      </w:tr>
      <w:tr>
        <w:tc>
          <w:tcPr>
            <w:tcW w:type="pct" w:w="50%"/>
            <w:tcMar>
              <w:top w:type="dxa" w:w="80"/>
              <w:left w:type="dxa" w:w="120"/>
              <w:bottom w:type="dxa" w:w="80"/>
              <w:right w:type="dxa" w:w="120"/>
            </w:tcMar>
          </w:tcPr>
          <w:p>
            <w:r>
              <w:rPr>
                <w:b w:val="false"/>
                <w:bCs w:val="false"/>
                <w:color w:val="000000"/>
                <w:sz w:val="21"/>
                <w:szCs w:val="21"/>
              </w:rPr>
              <w:t xml:space="preserve">Ho letto e accetto l'informativa privacy.</w:t>
            </w:r>
          </w:p>
        </w:tc>
        <w:tc>
          <w:tcPr>
            <w:tcW w:type="pct" w:w="50%"/>
            <w:tcMar>
              <w:top w:type="dxa" w:w="80"/>
              <w:left w:type="dxa" w:w="120"/>
              <w:bottom w:type="dxa" w:w="80"/>
              <w:right w:type="dxa" w:w="120"/>
            </w:tcMar>
          </w:tcPr>
          <w:p>
            <w:r>
              <w:rPr>
                <w:b w:val="false"/>
                <w:bCs w:val="false"/>
                <w:color w:val="000000"/>
                <w:sz w:val="21"/>
                <w:szCs w:val="21"/>
              </w:rPr>
              <w:t xml:space="preserve">Ich habe die Datenschutzerklärung gelesen und akzeptiere sie.</w:t>
            </w:r>
          </w:p>
        </w:tc>
      </w:tr>
      <w:tr>
        <w:tc>
          <w:tcPr>
            <w:tcW w:type="pct" w:w="50%"/>
            <w:tcMar>
              <w:top w:type="dxa" w:w="80"/>
              <w:left w:type="dxa" w:w="120"/>
              <w:bottom w:type="dxa" w:w="80"/>
              <w:right w:type="dxa" w:w="120"/>
            </w:tcMar>
          </w:tcPr>
          <w:p>
            <w:r>
              <w:rPr>
                <w:b w:val="false"/>
                <w:bCs w:val="false"/>
                <w:color w:val="000000"/>
                <w:sz w:val="21"/>
                <w:szCs w:val="21"/>
              </w:rPr>
              <w:t xml:space="preserve">Voglio ricevere gli aggiornamenti di El Brenz.</w:t>
            </w:r>
          </w:p>
        </w:tc>
        <w:tc>
          <w:tcPr>
            <w:tcW w:type="pct" w:w="50%"/>
            <w:tcMar>
              <w:top w:type="dxa" w:w="80"/>
              <w:left w:type="dxa" w:w="120"/>
              <w:bottom w:type="dxa" w:w="80"/>
              <w:right w:type="dxa" w:w="120"/>
            </w:tcMar>
          </w:tcPr>
          <w:p>
            <w:r>
              <w:rPr>
                <w:b w:val="false"/>
                <w:bCs w:val="false"/>
                <w:color w:val="000000"/>
                <w:sz w:val="21"/>
                <w:szCs w:val="21"/>
              </w:rPr>
              <w:t xml:space="preserve">Ich möchte die Neuigkeiten von El Brenz erhalten.</w:t>
            </w:r>
          </w:p>
        </w:tc>
      </w:tr>
      <w:tr>
        <w:tc>
          <w:tcPr>
            <w:tcW w:type="pct" w:w="50%"/>
            <w:tcMar>
              <w:top w:type="dxa" w:w="80"/>
              <w:left w:type="dxa" w:w="120"/>
              <w:bottom w:type="dxa" w:w="80"/>
              <w:right w:type="dxa" w:w="120"/>
            </w:tcMar>
          </w:tcPr>
          <w:p>
            <w:r>
              <w:rPr>
                <w:b w:val="false"/>
                <w:bCs w:val="false"/>
                <w:color w:val="000000"/>
                <w:sz w:val="21"/>
                <w:szCs w:val="21"/>
              </w:rPr>
              <w:t xml:space="preserve">Resta in contatto</w:t>
            </w:r>
          </w:p>
        </w:tc>
        <w:tc>
          <w:tcPr>
            <w:tcW w:type="pct" w:w="50%"/>
            <w:tcMar>
              <w:top w:type="dxa" w:w="80"/>
              <w:left w:type="dxa" w:w="120"/>
              <w:bottom w:type="dxa" w:w="80"/>
              <w:right w:type="dxa" w:w="120"/>
            </w:tcMar>
          </w:tcPr>
          <w:p>
            <w:r>
              <w:rPr>
                <w:b w:val="false"/>
                <w:bCs w:val="false"/>
                <w:color w:val="000000"/>
                <w:sz w:val="21"/>
                <w:szCs w:val="21"/>
              </w:rPr>
              <w:t xml:space="preserve">In Kontakt bleiben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Traduzione DE — fioi-dal-nos</dc:title>
  <dc:creator>El Brenz APS</dc:creator>
  <cp:lastModifiedBy>Un-named</cp:lastModifiedBy>
  <cp:revision>1</cp:revision>
  <dcterms:created xsi:type="dcterms:W3CDTF">2026-07-22T13:54:12.795Z</dcterms:created>
  <dcterms:modified xsi:type="dcterms:W3CDTF">2026-07-22T13:54:12.795Z</dcterms:modified>
</cp:coreProperties>
</file>

<file path=docProps/custom.xml><?xml version="1.0" encoding="utf-8"?>
<Properties xmlns="http://schemas.openxmlformats.org/officeDocument/2006/custom-properties" xmlns:vt="http://schemas.openxmlformats.org/officeDocument/2006/docPropsVTypes"/>
</file>