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1E2E26"/>
        </w:rPr>
        <w:t xml:space="preserve">Os dal Nos</w:t>
      </w:r>
    </w:p>
    <w:p>
      <w:r>
        <w:rPr>
          <w:i/>
          <w:iCs/>
          <w:color w:val="666666"/>
          <w:sz w:val="20"/>
          <w:szCs w:val="20"/>
        </w:rPr>
        <w:t xml:space="preserve">Pagina: /de/os-dal-nos</w:t>
      </w:r>
    </w:p>
    <w:p>
      <w:r>
        <w:rPr>
          <w:color w:val="666666"/>
          <w:sz w:val="20"/>
          <w:szCs w:val="20"/>
        </w:rPr>
        <w:t xml:space="preserve">Revisione terminologica: Brunella Bonapace. La terminologia chiave e gli esonimi delle valli sono gia validati; correzioni nella colonna DE.</w:t>
      </w:r>
    </w:p>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0%"/>
            <w:shd w:fill="1E2E26"/>
            <w:tcMar>
              <w:top w:type="dxa" w:w="80"/>
              <w:left w:type="dxa" w:w="120"/>
              <w:bottom w:type="dxa" w:w="80"/>
              <w:right w:type="dxa" w:w="120"/>
            </w:tcMar>
          </w:tcPr>
          <w:p>
            <w:r>
              <w:rPr>
                <w:b/>
                <w:bCs/>
                <w:color w:val="F5EEDD"/>
                <w:sz w:val="22"/>
                <w:szCs w:val="22"/>
              </w:rPr>
              <w:t xml:space="preserve">Italiano (fonte)</w:t>
            </w:r>
          </w:p>
        </w:tc>
        <w:tc>
          <w:tcPr>
            <w:tcW w:type="pct" w:w="50%"/>
            <w:shd w:fill="1E2E26"/>
            <w:tcMar>
              <w:top w:type="dxa" w:w="80"/>
              <w:left w:type="dxa" w:w="120"/>
              <w:bottom w:type="dxa" w:w="80"/>
              <w:right w:type="dxa" w:w="120"/>
            </w:tcMar>
          </w:tcPr>
          <w:p>
            <w:r>
              <w:rPr>
                <w:b/>
                <w:bCs/>
                <w:color w:val="F5EEDD"/>
                <w:sz w:val="22"/>
                <w:szCs w:val="22"/>
              </w:rPr>
              <w:t xml:space="preserve">Deutsch (bozza Claude, da rivedere)</w:t>
            </w:r>
          </w:p>
        </w:tc>
      </w:tr>
      <w:tr>
        <w:tc>
          <w:tcPr>
            <w:tcW w:type="pct" w:w="50%"/>
            <w:tcMar>
              <w:top w:type="dxa" w:w="80"/>
              <w:left w:type="dxa" w:w="120"/>
              <w:bottom w:type="dxa" w:w="80"/>
              <w:right w:type="dxa" w:w="120"/>
            </w:tcMar>
          </w:tcPr>
          <w:p>
            <w:r>
              <w:rPr>
                <w:b w:val="false"/>
                <w:bCs w:val="false"/>
                <w:color w:val="000000"/>
                <w:sz w:val="21"/>
                <w:szCs w:val="21"/>
              </w:rPr>
              <w:t xml:space="preserve">Progetti</w:t>
            </w:r>
          </w:p>
        </w:tc>
        <w:tc>
          <w:tcPr>
            <w:tcW w:type="pct" w:w="50%"/>
            <w:tcMar>
              <w:top w:type="dxa" w:w="80"/>
              <w:left w:type="dxa" w:w="120"/>
              <w:bottom w:type="dxa" w:w="80"/>
              <w:right w:type="dxa" w:w="120"/>
            </w:tcMar>
          </w:tcPr>
          <w:p>
            <w:r>
              <w:rPr>
                <w:b w:val="false"/>
                <w:bCs w:val="false"/>
                <w:color w:val="000000"/>
                <w:sz w:val="21"/>
                <w:szCs w:val="21"/>
              </w:rPr>
              <w:t xml:space="preserve">Projekte</w:t>
            </w:r>
          </w:p>
        </w:tc>
      </w:tr>
      <w:tr>
        <w:tc>
          <w:tcPr>
            <w:tcW w:type="pct" w:w="50%"/>
            <w:tcMar>
              <w:top w:type="dxa" w:w="80"/>
              <w:left w:type="dxa" w:w="120"/>
              <w:bottom w:type="dxa" w:w="80"/>
              <w:right w:type="dxa" w:w="120"/>
            </w:tcMar>
          </w:tcPr>
          <w:p>
            <w:r>
              <w:rPr>
                <w:b w:val="false"/>
                <w:bCs w:val="false"/>
                <w:color w:val="000000"/>
                <w:sz w:val="21"/>
                <w:szCs w:val="21"/>
              </w:rPr>
              <w:t xml:space="preserve">Os dal Nos</w:t>
            </w:r>
          </w:p>
        </w:tc>
        <w:tc>
          <w:tcPr>
            <w:tcW w:type="pct" w:w="50%"/>
            <w:tcMar>
              <w:top w:type="dxa" w:w="80"/>
              <w:left w:type="dxa" w:w="120"/>
              <w:bottom w:type="dxa" w:w="80"/>
              <w:right w:type="dxa" w:w="120"/>
            </w:tcMar>
          </w:tcPr>
          <w:p>
            <w:r>
              <w:rPr>
                <w:b w:val="false"/>
                <w:bCs w:val="false"/>
                <w:color w:val="000000"/>
                <w:sz w:val="21"/>
                <w:szCs w:val="21"/>
              </w:rPr>
              <w:t xml:space="preserve">Os dal Nos</w:t>
            </w:r>
          </w:p>
        </w:tc>
      </w:tr>
      <w:tr>
        <w:tc>
          <w:tcPr>
            <w:tcW w:type="pct" w:w="50%"/>
            <w:tcMar>
              <w:top w:type="dxa" w:w="80"/>
              <w:left w:type="dxa" w:w="120"/>
              <w:bottom w:type="dxa" w:w="80"/>
              <w:right w:type="dxa" w:w="120"/>
            </w:tcMar>
          </w:tcPr>
          <w:p>
            <w:r>
              <w:rPr>
                <w:b w:val="false"/>
                <w:bCs w:val="false"/>
                <w:color w:val="000000"/>
                <w:sz w:val="21"/>
                <w:szCs w:val="21"/>
              </w:rPr>
              <w:t xml:space="preserve">Il concorso poetico e musicale che dà voce alle parlate retoromanze delle Valli del Noce: componimenti in nones, solander, rabies e pegaes.</w:t>
            </w:r>
          </w:p>
        </w:tc>
        <w:tc>
          <w:tcPr>
            <w:tcW w:type="pct" w:w="50%"/>
            <w:tcMar>
              <w:top w:type="dxa" w:w="80"/>
              <w:left w:type="dxa" w:w="120"/>
              <w:bottom w:type="dxa" w:w="80"/>
              <w:right w:type="dxa" w:w="120"/>
            </w:tcMar>
          </w:tcPr>
          <w:p>
            <w:r>
              <w:rPr>
                <w:b w:val="false"/>
                <w:bCs w:val="false"/>
                <w:color w:val="000000"/>
                <w:sz w:val="21"/>
                <w:szCs w:val="21"/>
              </w:rPr>
              <w:t xml:space="preserve">Der Lyrik- und Musikwettbewerb, der den rätoromanischen Sprachen der Täler des Noce eine Stimme verleiht: Kompositionen auf Nones, Solander, Rabies und Pegaes.</w:t>
            </w:r>
          </w:p>
        </w:tc>
      </w:tr>
      <w:tr>
        <w:tc>
          <w:tcPr>
            <w:tcW w:type="pct" w:w="50%"/>
            <w:tcMar>
              <w:top w:type="dxa" w:w="80"/>
              <w:left w:type="dxa" w:w="120"/>
              <w:bottom w:type="dxa" w:w="80"/>
              <w:right w:type="dxa" w:w="120"/>
            </w:tcMar>
          </w:tcPr>
          <w:p>
            <w:r>
              <w:rPr>
                <w:b w:val="false"/>
                <w:bCs w:val="false"/>
                <w:color w:val="000000"/>
                <w:sz w:val="21"/>
                <w:szCs w:val="21"/>
              </w:rPr>
              <w:t xml:space="preserve">Os dal Nos, il concorso in ladino anaunico | El Brenz</w:t>
            </w:r>
          </w:p>
        </w:tc>
        <w:tc>
          <w:tcPr>
            <w:tcW w:type="pct" w:w="50%"/>
            <w:tcMar>
              <w:top w:type="dxa" w:w="80"/>
              <w:left w:type="dxa" w:w="120"/>
              <w:bottom w:type="dxa" w:w="80"/>
              <w:right w:type="dxa" w:w="120"/>
            </w:tcMar>
          </w:tcPr>
          <w:p>
            <w:r>
              <w:rPr>
                <w:b w:val="false"/>
                <w:bCs w:val="false"/>
                <w:color w:val="000000"/>
                <w:sz w:val="21"/>
                <w:szCs w:val="21"/>
              </w:rPr>
              <w:t xml:space="preserve">Os dal Nos, der Wettbewerb auf Anaunischem Ladinisch | El Brenz</w:t>
            </w:r>
          </w:p>
        </w:tc>
      </w:tr>
      <w:tr>
        <w:tc>
          <w:tcPr>
            <w:tcW w:type="pct" w:w="50%"/>
            <w:tcMar>
              <w:top w:type="dxa" w:w="80"/>
              <w:left w:type="dxa" w:w="120"/>
              <w:bottom w:type="dxa" w:w="80"/>
              <w:right w:type="dxa" w:w="120"/>
            </w:tcMar>
          </w:tcPr>
          <w:p>
            <w:r>
              <w:rPr>
                <w:b w:val="false"/>
                <w:bCs w:val="false"/>
                <w:color w:val="000000"/>
                <w:sz w:val="21"/>
                <w:szCs w:val="21"/>
              </w:rPr>
              <w:t xml:space="preserve">I video di tutte le edizioni di Os dal Nos, il concorso poetico e musicale de El Brenz nella lingua delle Valli del Noce (2014-2019).</w:t>
            </w:r>
          </w:p>
        </w:tc>
        <w:tc>
          <w:tcPr>
            <w:tcW w:type="pct" w:w="50%"/>
            <w:tcMar>
              <w:top w:type="dxa" w:w="80"/>
              <w:left w:type="dxa" w:w="120"/>
              <w:bottom w:type="dxa" w:w="80"/>
              <w:right w:type="dxa" w:w="120"/>
            </w:tcMar>
          </w:tcPr>
          <w:p>
            <w:r>
              <w:rPr>
                <w:b w:val="false"/>
                <w:bCs w:val="false"/>
                <w:color w:val="000000"/>
                <w:sz w:val="21"/>
                <w:szCs w:val="21"/>
              </w:rPr>
              <w:t xml:space="preserve">Die Videos aller Ausgaben von Os dal Nos, dem Lyrik- und Musikwettbewerb von El Brenz in der Sprache der Täler des Noce (2014-2019).</w:t>
            </w:r>
          </w:p>
        </w:tc>
      </w:tr>
      <w:tr>
        <w:tc>
          <w:tcPr>
            <w:tcW w:type="pct" w:w="50%"/>
            <w:tcMar>
              <w:top w:type="dxa" w:w="80"/>
              <w:left w:type="dxa" w:w="120"/>
              <w:bottom w:type="dxa" w:w="80"/>
              <w:right w:type="dxa" w:w="120"/>
            </w:tcMar>
          </w:tcPr>
          <w:p>
            <w:r>
              <w:rPr>
                <w:b w:val="false"/>
                <w:bCs w:val="false"/>
                <w:color w:val="000000"/>
                <w:sz w:val="21"/>
                <w:szCs w:val="21"/>
              </w:rPr>
              <w:t xml:space="preserve">La voce del Noce</w:t>
            </w:r>
          </w:p>
        </w:tc>
        <w:tc>
          <w:tcPr>
            <w:tcW w:type="pct" w:w="50%"/>
            <w:tcMar>
              <w:top w:type="dxa" w:w="80"/>
              <w:left w:type="dxa" w:w="120"/>
              <w:bottom w:type="dxa" w:w="80"/>
              <w:right w:type="dxa" w:w="120"/>
            </w:tcMar>
          </w:tcPr>
          <w:p>
            <w:r>
              <w:rPr>
                <w:b w:val="false"/>
                <w:bCs w:val="false"/>
                <w:color w:val="000000"/>
                <w:sz w:val="21"/>
                <w:szCs w:val="21"/>
              </w:rPr>
              <w:t xml:space="preserve">Die Stimme des Noce</w:t>
            </w:r>
          </w:p>
        </w:tc>
      </w:tr>
      <w:tr>
        <w:tc>
          <w:tcPr>
            <w:tcW w:type="pct" w:w="50%"/>
            <w:tcMar>
              <w:top w:type="dxa" w:w="80"/>
              <w:left w:type="dxa" w:w="120"/>
              <w:bottom w:type="dxa" w:w="80"/>
              <w:right w:type="dxa" w:w="120"/>
            </w:tcMar>
          </w:tcPr>
          <w:p>
            <w:r>
              <w:rPr>
                <w:b w:val="false"/>
                <w:bCs w:val="false"/>
                <w:color w:val="000000"/>
                <w:sz w:val="21"/>
                <w:szCs w:val="21"/>
              </w:rPr>
              <w:t xml:space="preserve">Os dal Nos (la voce del Noce) è il concorso poetico e musicale con cui, fin dalla prima edizione del 2014, abbiamo stimolato artisti e poeti a creare componimenti in ladino anaunico, unendo le diverse varianti linguistiche delle nostre valli: il nones, il solander, il rabies e il pegaes. Un vero e proprio inno alla bellezza e all'identità delle nostre parole.</w:t>
            </w:r>
          </w:p>
        </w:tc>
        <w:tc>
          <w:tcPr>
            <w:tcW w:type="pct" w:w="50%"/>
            <w:tcMar>
              <w:top w:type="dxa" w:w="80"/>
              <w:left w:type="dxa" w:w="120"/>
              <w:bottom w:type="dxa" w:w="80"/>
              <w:right w:type="dxa" w:w="120"/>
            </w:tcMar>
          </w:tcPr>
          <w:p>
            <w:r>
              <w:rPr>
                <w:b w:val="false"/>
                <w:bCs w:val="false"/>
                <w:color w:val="000000"/>
                <w:sz w:val="21"/>
                <w:szCs w:val="21"/>
              </w:rPr>
              <w:t xml:space="preserve">Os dal Nos (Stimme des Noce) ist der Lyrik- und Musikwettbewerb, mit dem wir seit der ersten Ausgabe 2014 Künstlerinnen, Künstler und Dichter dazu anregen, Werke auf Anaunischem Ladinisch zu schaffen und dabei die verschiedenen Sprachvarianten unserer Täler zu vereinen: das Nones, das Solander, das Rabies und das Pegaes. Eine wahre Hymne an die Schönheit und die Identität unserer Worte.</w:t>
            </w:r>
          </w:p>
        </w:tc>
      </w:tr>
      <w:tr>
        <w:tc>
          <w:tcPr>
            <w:tcW w:type="pct" w:w="50%"/>
            <w:tcMar>
              <w:top w:type="dxa" w:w="80"/>
              <w:left w:type="dxa" w:w="120"/>
              <w:bottom w:type="dxa" w:w="80"/>
              <w:right w:type="dxa" w:w="120"/>
            </w:tcMar>
          </w:tcPr>
          <w:p>
            <w:r>
              <w:rPr>
                <w:b w:val="false"/>
                <w:bCs w:val="false"/>
                <w:color w:val="000000"/>
                <w:sz w:val="21"/>
                <w:szCs w:val="21"/>
              </w:rPr>
              <w:t xml:space="preserve">I componimenti che hanno partecipato alle edizioni del concorso non restano chiusi in un cassetto: sono diventati l'anima del Lunari dal Nos, il calendario dell'associazione che li porta ogni anno nelle case e nelle scuole delle valli.</w:t>
            </w:r>
          </w:p>
        </w:tc>
        <w:tc>
          <w:tcPr>
            <w:tcW w:type="pct" w:w="50%"/>
            <w:tcMar>
              <w:top w:type="dxa" w:w="80"/>
              <w:left w:type="dxa" w:w="120"/>
              <w:bottom w:type="dxa" w:w="80"/>
              <w:right w:type="dxa" w:w="120"/>
            </w:tcMar>
          </w:tcPr>
          <w:p>
            <w:r>
              <w:rPr>
                <w:b w:val="false"/>
                <w:bCs w:val="false"/>
                <w:color w:val="000000"/>
                <w:sz w:val="21"/>
                <w:szCs w:val="21"/>
              </w:rPr>
              <w:t xml:space="preserve">Die Werke, die an den Ausgaben des Wettbewerbs teilgenommen haben, verschwinden nicht in der Schublade: Sie sind zur Seele des Lunari dal Nos geworden, des Vereinskalenders, der sie Jahr für Jahr in die Häuser und Schulen der Täler trägt.</w:t>
            </w:r>
          </w:p>
        </w:tc>
      </w:tr>
      <w:tr>
        <w:tc>
          <w:tcPr>
            <w:tcW w:type="pct" w:w="50%"/>
            <w:tcMar>
              <w:top w:type="dxa" w:w="80"/>
              <w:left w:type="dxa" w:w="120"/>
              <w:bottom w:type="dxa" w:w="80"/>
              <w:right w:type="dxa" w:w="120"/>
            </w:tcMar>
          </w:tcPr>
          <w:p>
            <w:r>
              <w:rPr>
                <w:b w:val="false"/>
                <w:bCs w:val="false"/>
                <w:color w:val="000000"/>
                <w:sz w:val="21"/>
                <w:szCs w:val="21"/>
              </w:rPr>
              <w:t xml:space="preserve">Le edizioni</w:t>
            </w:r>
          </w:p>
        </w:tc>
        <w:tc>
          <w:tcPr>
            <w:tcW w:type="pct" w:w="50%"/>
            <w:tcMar>
              <w:top w:type="dxa" w:w="80"/>
              <w:left w:type="dxa" w:w="120"/>
              <w:bottom w:type="dxa" w:w="80"/>
              <w:right w:type="dxa" w:w="120"/>
            </w:tcMar>
          </w:tcPr>
          <w:p>
            <w:r>
              <w:rPr>
                <w:b w:val="false"/>
                <w:bCs w:val="false"/>
                <w:color w:val="000000"/>
                <w:sz w:val="21"/>
                <w:szCs w:val="21"/>
              </w:rPr>
              <w:t xml:space="preserve">Die Ausgaben</w:t>
            </w:r>
          </w:p>
        </w:tc>
      </w:tr>
      <w:tr>
        <w:tc>
          <w:tcPr>
            <w:tcW w:type="pct" w:w="50%"/>
            <w:tcMar>
              <w:top w:type="dxa" w:w="80"/>
              <w:left w:type="dxa" w:w="120"/>
              <w:bottom w:type="dxa" w:w="80"/>
              <w:right w:type="dxa" w:w="120"/>
            </w:tcMar>
          </w:tcPr>
          <w:p>
            <w:r>
              <w:rPr>
                <w:b w:val="false"/>
                <w:bCs w:val="false"/>
                <w:color w:val="000000"/>
                <w:sz w:val="21"/>
                <w:szCs w:val="21"/>
              </w:rPr>
              <w:t xml:space="preserve">Il concorso si è svolto in sei edizioni, dal 2014 al 2019:</w:t>
            </w:r>
          </w:p>
        </w:tc>
        <w:tc>
          <w:tcPr>
            <w:tcW w:type="pct" w:w="50%"/>
            <w:tcMar>
              <w:top w:type="dxa" w:w="80"/>
              <w:left w:type="dxa" w:w="120"/>
              <w:bottom w:type="dxa" w:w="80"/>
              <w:right w:type="dxa" w:w="120"/>
            </w:tcMar>
          </w:tcPr>
          <w:p>
            <w:r>
              <w:rPr>
                <w:b w:val="false"/>
                <w:bCs w:val="false"/>
                <w:color w:val="000000"/>
                <w:sz w:val="21"/>
                <w:szCs w:val="21"/>
              </w:rPr>
              <w:t xml:space="preserve">Der Wettbewerb fand in sechs Ausgaben statt, von 2014 bis 2019:</w:t>
            </w:r>
          </w:p>
        </w:tc>
      </w:tr>
      <w:tr>
        <w:tc>
          <w:tcPr>
            <w:tcW w:type="pct" w:w="50%"/>
            <w:tcMar>
              <w:top w:type="dxa" w:w="80"/>
              <w:left w:type="dxa" w:w="120"/>
              <w:bottom w:type="dxa" w:w="80"/>
              <w:right w:type="dxa" w:w="120"/>
            </w:tcMar>
          </w:tcPr>
          <w:p>
            <w:r>
              <w:rPr>
                <w:b w:val="false"/>
                <w:bCs w:val="false"/>
                <w:color w:val="000000"/>
                <w:sz w:val="21"/>
                <w:szCs w:val="21"/>
              </w:rPr>
              <w:t xml:space="preserve">Leggi l'articolo dell'edizione →</w:t>
            </w:r>
          </w:p>
        </w:tc>
        <w:tc>
          <w:tcPr>
            <w:tcW w:type="pct" w:w="50%"/>
            <w:tcMar>
              <w:top w:type="dxa" w:w="80"/>
              <w:left w:type="dxa" w:w="120"/>
              <w:bottom w:type="dxa" w:w="80"/>
              <w:right w:type="dxa" w:w="120"/>
            </w:tcMar>
          </w:tcPr>
          <w:p>
            <w:r>
              <w:rPr>
                <w:b w:val="false"/>
                <w:bCs w:val="false"/>
                <w:color w:val="000000"/>
                <w:sz w:val="21"/>
                <w:szCs w:val="21"/>
              </w:rPr>
              <w:t xml:space="preserve">Zum Artikel der Ausgabe →</w:t>
            </w:r>
          </w:p>
        </w:tc>
      </w:tr>
      <w:tr>
        <w:tc>
          <w:tcPr>
            <w:tcW w:type="pct" w:w="50%"/>
            <w:tcMar>
              <w:top w:type="dxa" w:w="80"/>
              <w:left w:type="dxa" w:w="120"/>
              <w:bottom w:type="dxa" w:w="80"/>
              <w:right w:type="dxa" w:w="120"/>
            </w:tcMar>
          </w:tcPr>
          <w:p>
            <w:r>
              <w:rPr>
                <w:b w:val="false"/>
                <w:bCs w:val="false"/>
                <w:color w:val="000000"/>
                <w:sz w:val="21"/>
                <w:szCs w:val="21"/>
              </w:rPr>
              <w:t xml:space="preserve">Leggi l'articolo →</w:t>
            </w:r>
          </w:p>
        </w:tc>
        <w:tc>
          <w:tcPr>
            <w:tcW w:type="pct" w:w="50%"/>
            <w:tcMar>
              <w:top w:type="dxa" w:w="80"/>
              <w:left w:type="dxa" w:w="120"/>
              <w:bottom w:type="dxa" w:w="80"/>
              <w:right w:type="dxa" w:w="120"/>
            </w:tcMar>
          </w:tcPr>
          <w:p>
            <w:r>
              <w:rPr>
                <w:b w:val="false"/>
                <w:bCs w:val="false"/>
                <w:color w:val="000000"/>
                <w:sz w:val="21"/>
                <w:szCs w:val="21"/>
              </w:rPr>
              <w:t xml:space="preserve">Zum Artikel →</w:t>
            </w:r>
          </w:p>
        </w:tc>
      </w:tr>
      <w:tr>
        <w:tc>
          <w:tcPr>
            <w:tcW w:type="pct" w:w="50%"/>
            <w:tcMar>
              <w:top w:type="dxa" w:w="80"/>
              <w:left w:type="dxa" w:w="120"/>
              <w:bottom w:type="dxa" w:w="80"/>
              <w:right w:type="dxa" w:w="120"/>
            </w:tcMar>
          </w:tcPr>
          <w:p>
            <w:r>
              <w:rPr>
                <w:b w:val="false"/>
                <w:bCs w:val="false"/>
                <w:color w:val="000000"/>
                <w:sz w:val="21"/>
                <w:szCs w:val="21"/>
              </w:rPr>
              <w:t xml:space="preserve">In arrivo</w:t>
            </w:r>
          </w:p>
        </w:tc>
        <w:tc>
          <w:tcPr>
            <w:tcW w:type="pct" w:w="50%"/>
            <w:tcMar>
              <w:top w:type="dxa" w:w="80"/>
              <w:left w:type="dxa" w:w="120"/>
              <w:bottom w:type="dxa" w:w="80"/>
              <w:right w:type="dxa" w:w="120"/>
            </w:tcMar>
          </w:tcPr>
          <w:p>
            <w:r>
              <w:rPr>
                <w:b w:val="false"/>
                <w:bCs w:val="false"/>
                <w:color w:val="000000"/>
                <w:sz w:val="21"/>
                <w:szCs w:val="21"/>
              </w:rPr>
              <w:t xml:space="preserve">In Kürze</w:t>
            </w:r>
          </w:p>
        </w:tc>
      </w:tr>
      <w:tr>
        <w:tc>
          <w:tcPr>
            <w:tcW w:type="pct" w:w="50%"/>
            <w:tcMar>
              <w:top w:type="dxa" w:w="80"/>
              <w:left w:type="dxa" w:w="120"/>
              <w:bottom w:type="dxa" w:w="80"/>
              <w:right w:type="dxa" w:w="120"/>
            </w:tcMar>
          </w:tcPr>
          <w:p>
            <w:r>
              <w:rPr>
                <w:b w:val="false"/>
                <w:bCs w:val="false"/>
                <w:color w:val="000000"/>
                <w:sz w:val="21"/>
                <w:szCs w:val="21"/>
              </w:rPr>
              <w:t xml:space="preserve">Le edizioni mancanti verranno aggiunte man mano che i video tornano disponibili.</w:t>
            </w:r>
          </w:p>
        </w:tc>
        <w:tc>
          <w:tcPr>
            <w:tcW w:type="pct" w:w="50%"/>
            <w:tcMar>
              <w:top w:type="dxa" w:w="80"/>
              <w:left w:type="dxa" w:w="120"/>
              <w:bottom w:type="dxa" w:w="80"/>
              <w:right w:type="dxa" w:w="120"/>
            </w:tcMar>
          </w:tcPr>
          <w:p>
            <w:r>
              <w:rPr>
                <w:b w:val="false"/>
                <w:bCs w:val="false"/>
                <w:color w:val="000000"/>
                <w:sz w:val="21"/>
                <w:szCs w:val="21"/>
              </w:rPr>
              <w:t xml:space="preserve">Die fehlenden Ausgaben werden nach und nach ergänzt, sobald die Videos wieder verfügbar sind.</w:t>
            </w:r>
          </w:p>
        </w:tc>
      </w:tr>
      <w:tr>
        <w:tc>
          <w:tcPr>
            <w:tcW w:type="pct" w:w="50%"/>
            <w:tcMar>
              <w:top w:type="dxa" w:w="80"/>
              <w:left w:type="dxa" w:w="120"/>
              <w:bottom w:type="dxa" w:w="80"/>
              <w:right w:type="dxa" w:w="120"/>
            </w:tcMar>
          </w:tcPr>
          <w:p>
            <w:r>
              <w:rPr>
                <w:b w:val="false"/>
                <w:bCs w:val="false"/>
                <w:color w:val="000000"/>
                <w:sz w:val="21"/>
                <w:szCs w:val="21"/>
              </w:rPr>
              <w:t xml:space="preserve">I video si aprono in una finestra sul sito, da YouTube in modalità senza cookie di profilazione.</w:t>
            </w:r>
          </w:p>
        </w:tc>
        <w:tc>
          <w:tcPr>
            <w:tcW w:type="pct" w:w="50%"/>
            <w:tcMar>
              <w:top w:type="dxa" w:w="80"/>
              <w:left w:type="dxa" w:w="120"/>
              <w:bottom w:type="dxa" w:w="80"/>
              <w:right w:type="dxa" w:w="120"/>
            </w:tcMar>
          </w:tcPr>
          <w:p>
            <w:r>
              <w:rPr>
                <w:b w:val="false"/>
                <w:bCs w:val="false"/>
                <w:color w:val="000000"/>
                <w:sz w:val="21"/>
                <w:szCs w:val="21"/>
              </w:rPr>
              <w:t xml:space="preserve">Die Videos öffnen sich in einem Fenster auf der Website, von YouTube im Modus ohne Profiling-Cookies.</w:t>
            </w:r>
          </w:p>
        </w:tc>
      </w:tr>
      <w:tr>
        <w:tc>
          <w:tcPr>
            <w:tcW w:type="pct" w:w="50%"/>
            <w:tcMar>
              <w:top w:type="dxa" w:w="80"/>
              <w:left w:type="dxa" w:w="120"/>
              <w:bottom w:type="dxa" w:w="80"/>
              <w:right w:type="dxa" w:w="120"/>
            </w:tcMar>
          </w:tcPr>
          <w:p>
            <w:r>
              <w:rPr>
                <w:b w:val="false"/>
                <w:bCs w:val="false"/>
                <w:color w:val="000000"/>
                <w:sz w:val="21"/>
                <w:szCs w:val="21"/>
              </w:rPr>
              <w:t xml:space="preserve">Stiamo digitalizzando i materiali delle sei edizioni, foto delle premiazioni, componimenti vincitori, locandine, che confluiranno qui e nella photogallery del sito. Un pezzo alla volta, con la cura che questi ricordi meritano.</w:t>
            </w:r>
          </w:p>
        </w:tc>
        <w:tc>
          <w:tcPr>
            <w:tcW w:type="pct" w:w="50%"/>
            <w:tcMar>
              <w:top w:type="dxa" w:w="80"/>
              <w:left w:type="dxa" w:w="120"/>
              <w:bottom w:type="dxa" w:w="80"/>
              <w:right w:type="dxa" w:w="120"/>
            </w:tcMar>
          </w:tcPr>
          <w:p>
            <w:r>
              <w:rPr>
                <w:b w:val="false"/>
                <w:bCs w:val="false"/>
                <w:color w:val="000000"/>
                <w:sz w:val="21"/>
                <w:szCs w:val="21"/>
              </w:rPr>
              <w:t xml:space="preserve">Wir digitalisieren die Materialien der sechs Ausgaben: Fotos der Preisverleihungen, prämierte Werke, Plakate, die hier und in der Fotogalerie der Website zusammenfließen werden. Ein Stück nach dem anderen, mit der Sorgfalt, die diese Erinnerungen verdienen.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Traduzione DE — os-dal-nos</dc:title>
  <dc:creator>El Brenz APS</dc:creator>
  <cp:lastModifiedBy>Un-named</cp:lastModifiedBy>
  <cp:revision>1</cp:revision>
  <dcterms:created xsi:type="dcterms:W3CDTF">2026-07-22T13:54:13.280Z</dcterms:created>
  <dcterms:modified xsi:type="dcterms:W3CDTF">2026-07-22T13:54:13.280Z</dcterms:modified>
</cp:coreProperties>
</file>

<file path=docProps/custom.xml><?xml version="1.0" encoding="utf-8"?>
<Properties xmlns="http://schemas.openxmlformats.org/officeDocument/2006/custom-properties" xmlns:vt="http://schemas.openxmlformats.org/officeDocument/2006/docPropsVTypes"/>
</file>