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240"/>
      </w:pPr>
      <w:r>
        <w:rPr>
          <w:b/>
          <w:sz w:val="32"/>
          <w:szCs w:val="32"/>
        </w:rPr>
        <w:t xml:space="preserve">УЯВЛЕННЯ РОЗГОРТАННЯ ІНФОРМАЦІЙНОЇ СИСТЕМИ</w:t>
      </w:r>
    </w:p>
    <w:p>
      <w:pPr>
        <w:spacing w:after="120"/>
      </w:pPr>
      <w:r>
        <w:t xml:space="preserve">Уявлення розгортання інформаційної системи відображає фізичне та логічне розміщення її основних програмних артефактів, середовищ виконання, сервісів та каналів взаємодії між ними. На поточному етапі система реалізована за клієнт-серверною моделлю з використанням одного хмарного вебвузла застосунку, зовнішньої платформи даних Supabase та зовнішнього сервісу електронної пошти Resend. Таке подання дає змогу визначити, на яких вузлах виконуються окремі частини системи, які модулі на них розміщені та яким чином між ними передаються дані.</w:t>
      </w:r>
    </w:p>
    <w:p>
      <w:pPr>
        <w:spacing w:after="120"/>
      </w:pPr>
      <w:r>
        <w:t xml:space="preserve">У межах цього уявлення увага зосереджується не на внутрішній реалізації окремих класів чи бібліотек, а на вузлах розгортання, середовищах виконання, артефактах програмної системи та зовнішніх сервісах, що забезпечують її функціонування. Саме тому в описі розглядаються клієнтський пристрій, хмарний вузол застосунку, платформа даних та зовнішній сервіс електронної пошти, а також програмні модулі, що фактично розміщуються на цих вузлах.</w:t>
      </w:r>
    </w:p>
    <w:p>
      <w:pPr>
        <w:spacing w:after="120"/>
      </w:pPr>
      <w:r>
        <w:rPr>
          <w:b/>
        </w:rPr>
        <w:t xml:space="preserve">1. Клієнтський пристрій (Client Device, &lt;&lt;device&gt;&gt;)</w:t>
      </w:r>
    </w:p>
    <w:p>
      <w:pPr>
        <w:spacing w:after="120"/>
      </w:pPr>
      <w:r>
        <w:t xml:space="preserve">Клієнтський пристрій є кінцевим апаратним вузлом, з якого користувач взаємодіє з інформаційною системою. Таким пристроєм може бути персональний комп’ютер, ноутбук, планшет або смартфон. Основним призначенням цього вузла є надання користувачеві доступу до вебінтерфейсу системи через мережу Інтернет.</w:t>
      </w:r>
    </w:p>
    <w:p>
      <w:pPr>
        <w:spacing w:after="120"/>
      </w:pPr>
      <w:r>
        <w:t xml:space="preserve">Середовищем виконання на цьому вузлі є Web Browser (&lt;&lt;executionEnvironment&gt;&gt;). Браузер забезпечує завантаження статичних ресурсів клієнтського застосунку, виконання сценаріїв інтерфейсу, обробку дій користувача, відображення вмісту сторінок та обмін даними із серверною частиною. Передбачається підтримка сучасних браузерів, зокрема Google Chrome, Mozilla Firefox, Microsoft Edge і Safari.</w:t>
      </w:r>
    </w:p>
    <w:p>
      <w:pPr>
        <w:spacing w:after="120"/>
      </w:pPr>
      <w:r>
        <w:t xml:space="preserve">На клієнтському пристрої розгортається Web Client (&lt;&lt;artifact&gt;&gt;), тобто клієнтський вебзастосунок, реалізований на React і TypeScript. Цей артефакт формує користувацький інтерфейс системи та виконує логіку взаємодії користувача з функціями платформи. Клієнтський застосунок завантажується через HTTPS і працює у браузері без потреби встановлення окремого настільного програмного забезпечення.</w:t>
      </w:r>
    </w:p>
    <w:p>
      <w:pPr>
        <w:spacing w:after="120"/>
      </w:pPr>
      <w:r>
        <w:t xml:space="preserve">До складу клієнтського застосунку входять такі основні модулі: модуль автентифікації користувача, модуль перегляду новин і подій, модуль обговорень, модуль нотаток і дедлайнів, модуль профілю та відстеження участі користувача, а також адміністративний інтерфейс. Кожен із цих модулів реалізує відповідний набір функціональних можливостей, але з точки зору розгортання всі вони входять до складу одного клієнтського артефакту, що виконується в браузері.</w:t>
      </w:r>
    </w:p>
    <w:p>
      <w:pPr>
        <w:spacing w:after="120"/>
      </w:pPr>
      <w:r>
        <w:t xml:space="preserve">Клієнтський застосунок взаємодіє з хмарним серверним застосунком через REST API із передачею даних у форматі JSON. Крім того, для підтримання автентифікації та сесії користувача клієнтська частина використовує можливості Supabase Auth, а в окремих сценаріях також отримує частину профільних даних через засоби платформи Supabase.</w:t>
      </w:r>
    </w:p>
    <w:p>
      <w:pPr>
        <w:spacing w:after="120"/>
      </w:pPr>
      <w:r>
        <w:rPr>
          <w:b/>
        </w:rPr>
        <w:t xml:space="preserve">2. Хмарний вебвузол застосунку (Render Web Service, &lt;&lt;node&gt;&gt;)</w:t>
      </w:r>
    </w:p>
    <w:p>
      <w:pPr>
        <w:spacing w:after="120"/>
      </w:pPr>
      <w:r>
        <w:t xml:space="preserve">Хмарний вебвузол застосунку є центральним вузлом розгортання серверної частини системи. На поточному етапі система розгортається як один хмарний вебсервіс у середовищі Render. На цьому вузлі поєднуються функції обслуговування серверного API та видачі статичних ресурсів клієнтського застосунку. Така схема розгортання спрощує архітектуру взаємодії між клієнтською та серверною частинами, оскільки вони доступні з одного мережевого походження.</w:t>
      </w:r>
    </w:p>
    <w:p>
      <w:pPr>
        <w:spacing w:after="120"/>
      </w:pPr>
      <w:r>
        <w:t xml:space="preserve">Середовищем виконання на цьому вузлі є Bun Runtime (&lt;&lt;executionEnvironment&gt;&gt;). Це середовище забезпечує запуск серверного застосунку, обробку HTTP-запитів, виконання бізнес-логіки, керування маршрутизацією API та роботу зі статичними файлами клієнтської частини.</w:t>
      </w:r>
    </w:p>
    <w:p>
      <w:pPr>
        <w:spacing w:after="120"/>
      </w:pPr>
      <w:r>
        <w:t xml:space="preserve">Основним артефактом вузла є Server Application (&lt;&lt;artifact&gt;&gt;), тобто серверний застосунок, реалізований на Hono і TypeScript. Його призначенням є обробка запитів від клієнтського застосунку, виконання серверної бізнес-логіки, перевірка прав доступу, організація взаємодії з базою даних та зовнішніми сервісами, а також формування відповідей клієнтові.</w:t>
      </w:r>
    </w:p>
    <w:p>
      <w:pPr>
        <w:spacing w:after="120"/>
      </w:pPr>
      <w:r>
        <w:t xml:space="preserve">До складу серверного застосунку входять такі модулі: модуль автентифікації та авторизації, модуль керування заявками користувачів, модуль профілів, модуль новин, модуль подій і реєстрації на них, модуль обговорень, модуль нотаток, модуль дедлайнів, модуль користувацьких налаштувань, а також модуль керування нагадуваннями. Сукупно ці модулі забезпечують реалізацію основних функціональних можливостей інформаційної системи.</w:t>
      </w:r>
    </w:p>
    <w:p>
      <w:pPr>
        <w:spacing w:after="120"/>
      </w:pPr>
      <w:r>
        <w:t xml:space="preserve">Окремим артефактом цього самого вузла є Static Web Assets (&lt;&lt;artifact&gt;&gt;), тобто зібрана клієнтська вебчастина. Після побудови клієнтського застосунку статичні HTML-, JavaScript- і CSS-ресурси зберігаються на цьому ж хмарному вузлі й передаються браузеру користувача через HTTPS. Таким чином, один хмарний вузол одночасно виконує роль точки доступу як до клієнтського інтерфейсу, так і до серверного API.</w:t>
      </w:r>
    </w:p>
    <w:p>
      <w:pPr>
        <w:spacing w:after="120"/>
      </w:pPr>
      <w:r>
        <w:t xml:space="preserve">Модуль керування нагадуваннями є складовою серверного застосунку, а не окремим вузлом розгортання. Його завданням є ініціювання створення, оновлення або скасування відкладених нагадувань про події та дедлайни. Ці операції виконуються під час створення, редагування або видалення подій і дедлайнів, а також під час зміни користувачем параметрів сповіщень.</w:t>
      </w:r>
    </w:p>
    <w:p>
      <w:pPr>
        <w:spacing w:after="120"/>
      </w:pPr>
      <w:r>
        <w:rPr>
          <w:b/>
        </w:rPr>
        <w:t xml:space="preserve">3. Платформа даних Supabase (Supabase Platform, &lt;&lt;node&gt;&gt;)</w:t>
      </w:r>
    </w:p>
    <w:p>
      <w:pPr>
        <w:spacing w:after="120"/>
      </w:pPr>
      <w:r>
        <w:t xml:space="preserve">Платформа Supabase є окремим зовнішнім вузлом розгортання, який надає системі сервіси зберігання даних, автентифікації та роботи з файлами. Використання такої платформи дає змогу винести критичні інфраструктурні функції за межі основного серверного вузла та використовувати готові хмарні сервіси керування даними й користувачами.</w:t>
      </w:r>
    </w:p>
    <w:p>
      <w:pPr>
        <w:spacing w:after="120"/>
      </w:pPr>
      <w:r>
        <w:t xml:space="preserve">До складу цього вузла входить PostgreSQL Database (&lt;&lt;database&gt;&gt;). База даних забезпечує постійне зберігання структурованої інформації, зокрема облікових записів користувачів, профілів, заявок на реєстрацію, новин, подій, реєстрацій на події, обговорень, коментарів, реакцій, нотаток, дедлайнів і користувацьких налаштувань. Саме база даних є основним сховищем операційних даних інформаційної системи.</w:t>
      </w:r>
    </w:p>
    <w:p>
      <w:pPr>
        <w:spacing w:after="120"/>
      </w:pPr>
      <w:r>
        <w:t xml:space="preserve">Ще одним модулем платформи є Supabase Auth (&lt;&lt;service&gt;&gt;), який забезпечує автентифікацію користувачів, видачу та перевірку токенів доступу, підтримання сесій та інтеграцію з обліковими записами. Клієнтська частина використовує цей сервіс для входу, реєстрації та виходу з системи, а серверна частина використовує його для перевірки токенів доступу під час обробки захищених запитів.</w:t>
      </w:r>
    </w:p>
    <w:p>
      <w:pPr>
        <w:spacing w:after="120"/>
      </w:pPr>
      <w:r>
        <w:t xml:space="preserve">На платформі Supabase також використовується Supabase Storage (&lt;&lt;service&gt;&gt;), призначений для зберігання медіафайлів. У цьому сховищі розміщуються зображення для новин і подій, аватари користувачів, а також фонові зображення профілів. Серверний застосунок відповідає за завантаження файлів у це сховище та отримання публічних посилань для подальшого відображення в клієнтському інтерфейсі.</w:t>
      </w:r>
    </w:p>
    <w:p>
      <w:pPr>
        <w:spacing w:after="120"/>
      </w:pPr>
      <w:r>
        <w:t xml:space="preserve">Платформа даних також реалізує політики безпеки доступу до таблиць на рівні бази даних. Такі політики не розглядаються як окремий вузол розгортання, однак вони є важливим інфраструктурним механізмом, що обмежує доступ користувачів до власних даних та розмежовує права між звичайними користувачами й адміністраторами.</w:t>
      </w:r>
    </w:p>
    <w:p>
      <w:pPr>
        <w:spacing w:after="120"/>
      </w:pPr>
      <w:r>
        <w:rPr>
          <w:b/>
        </w:rPr>
        <w:t xml:space="preserve">4. Зовнішній сервіс електронної пошти (Resend, &lt;&lt;external service&gt;&gt;)</w:t>
      </w:r>
    </w:p>
    <w:p>
      <w:pPr>
        <w:spacing w:after="120"/>
      </w:pPr>
      <w:r>
        <w:t xml:space="preserve">Зовнішній сервіс електронної пошти Resend є окремим зовнішнім вузлом, що використовується для надсилання електронних повідомлень користувачам. Його застосування дає змогу винести функцію доставки повідомлень за межі основного серверного застосунку та використати готову інфраструктуру електронної пошти.</w:t>
      </w:r>
    </w:p>
    <w:p>
      <w:pPr>
        <w:spacing w:after="120"/>
      </w:pPr>
      <w:r>
        <w:t xml:space="preserve">Через цей сервіс серверний застосунок надсилає повідомлення про результати розгляду заявок на реєстрацію, а також формує відкладені нагадування про наближення дедлайнів і майбутніх подій. Фактичне планування часу надсилання виконується у взаємодії з цим зовнішнім сервісом, тоді як ініціювання та скасування таких повідомлень здійснюється логікою серверного застосунку.</w:t>
      </w:r>
    </w:p>
    <w:p>
      <w:pPr>
        <w:spacing w:after="120"/>
      </w:pPr>
      <w:r>
        <w:rPr>
          <w:b/>
        </w:rPr>
        <w:t xml:space="preserve">5. Взаємодія між вузлами розгортання</w:t>
      </w:r>
    </w:p>
    <w:p>
      <w:pPr>
        <w:spacing w:after="120"/>
      </w:pPr>
      <w:r>
        <w:t xml:space="preserve">Взаємодія між клієнтським пристроєм і хмарним вузлом застосунку відбувається через захищений протокол HTTPS. Через цей канал браузер завантажує клієнтський застосунок, передає HTTP-запити до серверного API та отримує відповіді у форматі JSON. Усі основні користувацькі сценарії, зокрема перегляд новин, робота з подіями, участь в обговореннях, керування нотатками, дедлайнами та профілем, реалізуються саме через таку взаємодію.</w:t>
      </w:r>
    </w:p>
    <w:p>
      <w:pPr>
        <w:spacing w:after="120"/>
      </w:pPr>
      <w:r>
        <w:t xml:space="preserve">Серверний застосунок взаємодіє з платформою Supabase у кількох напрямах. По-перше, він працює з PostgreSQL-базою даних для читання, створення, оновлення та видалення прикладних даних. По-друге, сервер звертається до Supabase Auth для перевірки токенів доступу та визначення автентичності користувача. По-третє, сервер використовує Supabase Storage для завантаження медіафайлів і формування посилань на них.</w:t>
      </w:r>
    </w:p>
    <w:p>
      <w:pPr>
        <w:spacing w:after="120"/>
      </w:pPr>
      <w:r>
        <w:t xml:space="preserve">Клієнтський застосунок також взаємодіє із сервісами Supabase, насамперед для автентифікації користувача, підтримання сесії та виконання окремих операцій, пов’язаних із профільними даними. Таким чином, у поточній архітектурі Supabase виступає не лише серверним ресурсом, а й спільною інфраструктурною платформою для клієнтської та серверної частин системи.</w:t>
      </w:r>
    </w:p>
    <w:p>
      <w:pPr>
        <w:spacing w:after="120"/>
      </w:pPr>
      <w:r>
        <w:t xml:space="preserve">Взаємодія серверного застосунку із зовнішнім сервісом Resend також відбувається через захищені HTTPS-з’єднання. Через цей канал сервер ініціює надсилання звичайних інформаційних електронних листів і передає запити на планування або скасування відкладених нагадувань. Така схема дає змогу відокремити логіку бізнес-процесів від механізмів доставки електронної пошти.</w:t>
      </w:r>
    </w:p>
    <w:p>
      <w:pPr>
        <w:spacing w:after="120"/>
      </w:pPr>
      <w:r>
        <w:rPr>
          <w:b/>
        </w:rPr>
        <w:t xml:space="preserve">6. Узагальнення</w:t>
      </w:r>
    </w:p>
    <w:p>
      <w:pPr>
        <w:spacing w:after="120"/>
      </w:pPr>
      <w:r>
        <w:t xml:space="preserve">Отже, на поточному етапі інформаційна система розгортається як веборієнтована клієнт-серверна система, у якій користувач працює з клієнтським вебзастосунком через браузер, серверна логіка виконується на одному хмарному вебвузлі, дані та сервіси автентифікації й зберігання файлів надаються платформою Supabase, а електронні повідомлення доставляються через сервіс Resend. Така структура розгортання є достатньо простою, зрозумілою та придатною для подальшого розширення системи.</w:t>
      </w:r>
    </w:p>
    <w:sectPr>
      <w:pgSz w:w="11906" w:h="16838"/>
      <w:pgMar w:top="1440" w:right="1440" w:bottom="1440" w:left="1440" w:header="708" w:footer="708" w:gutter="0"/>
      <w:cols w:space="708"/>
      <w:docGrid w:linePitch="36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Уявлення розгортання інформаційної системи</dc:title>
  <dc:creator>OpenAI Codex</dc:creator>
  <cp:lastModifiedBy>OpenAI Codex</cp:lastModifiedBy>
  <dcterms:created xsi:type="dcterms:W3CDTF">2026-05-01T09:09:54Z</dcterms:created>
  <dcterms:modified xsi:type="dcterms:W3CDTF">2026-05-01T09:09:54Z</dcterms:modified>
</cp:coreProperties>
</file>