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22615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4373880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1109537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719214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819978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15347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2994526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923862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3306875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672981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4711700" cy="3556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785256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31913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4397900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55467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5344458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963083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15682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4171253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934483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(рис. 21) Вид функции 𝑓(𝑥) выбрали из таблицы 7.3</w:t>
      </w:r>
      <w:r>
        <w:t xml:space="preserve"> </w:t>
      </w:r>
      <w:r>
        <w:t xml:space="preserve">вариантов заданий, наш номер - 4,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𝑥1 = 1 и 𝑥2 = 3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4115573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737851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Старцева Алина Сергеевна</dc:creator>
  <dc:language>ru-RU</dc:language>
  <cp:keywords/>
  <dcterms:created xsi:type="dcterms:W3CDTF">2022-11-23T20:13:42Z</dcterms:created>
  <dcterms:modified xsi:type="dcterms:W3CDTF">2022-11-23T20:13:42Z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