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color w:val="FF6B35"/>
          <w:sz w:val="28"/>
        </w:rPr>
        <w:t>📱 Mon Espace Pro</w:t>
      </w:r>
    </w:p>
    <w:p>
      <w:r>
        <w:rPr>
          <w:b/>
          <w:color w:val="1A1A2E"/>
          <w:sz w:val="44"/>
        </w:rPr>
        <w:t>Présentation de l'application de gestion</w:t>
      </w:r>
    </w:p>
    <w:p>
      <w:r>
        <w:rPr>
          <w:i/>
          <w:color w:val="555555"/>
          <w:sz w:val="22"/>
        </w:rPr>
        <w:t>Cabinet PONCEY LEBAS — Agent Général Allianz</w:t>
      </w:r>
    </w:p>
    <w:p>
      <w:r>
        <w:rPr>
          <w:color w:val="555555"/>
          <w:sz w:val="20"/>
        </w:rPr>
        <w:t>Tél : 02 31 92 81 31  ·  N° Orias : 07022305 - 12066667</w:t>
      </w:r>
    </w:p>
    <w:p/>
    <w:p>
      <w:pPr>
        <w:spacing w:before="280" w:after="120"/>
      </w:pPr>
      <w:r>
        <w:rPr>
          <w:b/>
          <w:color w:val="FF6B35"/>
          <w:sz w:val="32"/>
        </w:rPr>
        <w:t>🎯 À quoi ça sert ?</w:t>
      </w:r>
    </w:p>
    <w:p>
      <w:pPr>
        <w:spacing w:after="80"/>
      </w:pPr>
      <w:r>
        <w:rPr>
          <w:b w:val="0"/>
          <w:i w:val="0"/>
          <w:sz w:val="22"/>
        </w:rPr>
        <w:t>Mon Espace Pro est l'outil de gestion interne du cabinet. Accessible depuis n'importe quel navigateur (PC, Mac, téléphone, tablette), il centralise en temps réel le suivi des clients, contrats, sinistres et mises en demeure. Chaque action est visible instantanément par toute l'équipe.</w:t>
      </w:r>
    </w:p>
    <w:p>
      <w:pPr>
        <w:spacing w:before="280" w:after="120"/>
      </w:pPr>
      <w:r>
        <w:rPr>
          <w:b/>
          <w:color w:val="FF6B35"/>
          <w:sz w:val="32"/>
        </w:rPr>
        <w:t>🔐 Accès à l'application</w:t>
      </w:r>
    </w:p>
    <w:tbl>
      <w:tblPr>
        <w:tblStyle w:val="LightGrid-Accent1"/>
        <w:tblW w:type="auto" w:w="0"/>
        <w:tblLook w:firstColumn="1" w:firstRow="1" w:lastColumn="0" w:lastRow="0" w:noHBand="0" w:noVBand="1" w:val="04A0"/>
      </w:tblPr>
      <w:tblGrid>
        <w:gridCol w:w="4986"/>
        <w:gridCol w:w="4986"/>
      </w:tblGrid>
      <w:tr>
        <w:tc>
          <w:tcPr>
            <w:tcW w:type="dxa" w:w="2835"/>
            <w:shd w:val="clear" w:color="auto" w:fill="1A1A2E"/>
          </w:tcPr>
          <w:p>
            <w:r/>
            <w:r>
              <w:rPr>
                <w:b/>
                <w:color w:val="FFFFFF"/>
                <w:sz w:val="20"/>
              </w:rPr>
            </w:r>
          </w:p>
        </w:tc>
        <w:tc>
          <w:tcPr>
            <w:tcW w:type="dxa" w:w="6236"/>
            <w:shd w:val="clear" w:color="auto" w:fill="1A1A2E"/>
          </w:tcPr>
          <w:p>
            <w:r/>
            <w:r>
              <w:rPr>
                <w:b/>
                <w:color w:val="FFFFFF"/>
                <w:sz w:val="20"/>
              </w:rPr>
            </w:r>
          </w:p>
        </w:tc>
      </w:tr>
      <w:tr>
        <w:tc>
          <w:tcPr>
            <w:tcW w:type="dxa" w:w="2835"/>
            <w:shd w:val="clear" w:color="auto" w:fill="F8F9FA"/>
          </w:tcPr>
          <w:p>
            <w:r/>
            <w:r>
              <w:rPr>
                <w:sz w:val="20"/>
              </w:rPr>
              <w:t>Adresse web</w:t>
            </w:r>
          </w:p>
        </w:tc>
        <w:tc>
          <w:tcPr>
            <w:tcW w:type="dxa" w:w="6236"/>
            <w:shd w:val="clear" w:color="auto" w:fill="F8F9FA"/>
          </w:tcPr>
          <w:p>
            <w:r/>
            <w:r>
              <w:rPr>
                <w:sz w:val="20"/>
              </w:rPr>
              <w:t>Voir Johann pour l'URL</w:t>
            </w:r>
          </w:p>
        </w:tc>
      </w:tr>
      <w:tr>
        <w:tc>
          <w:tcPr>
            <w:tcW w:type="dxa" w:w="2835"/>
          </w:tcPr>
          <w:p>
            <w:r/>
            <w:r>
              <w:rPr>
                <w:sz w:val="20"/>
              </w:rPr>
              <w:t>Code d'accès</w:t>
            </w:r>
          </w:p>
        </w:tc>
        <w:tc>
          <w:tcPr>
            <w:tcW w:type="dxa" w:w="6236"/>
          </w:tcPr>
          <w:p>
            <w:r/>
            <w:r>
              <w:rPr>
                <w:sz w:val="20"/>
              </w:rPr>
              <w:t>Cabinetpl</w:t>
            </w:r>
          </w:p>
        </w:tc>
      </w:tr>
      <w:tr>
        <w:tc>
          <w:tcPr>
            <w:tcW w:type="dxa" w:w="2835"/>
            <w:shd w:val="clear" w:color="auto" w:fill="F8F9FA"/>
          </w:tcPr>
          <w:p>
            <w:r/>
            <w:r>
              <w:rPr>
                <w:sz w:val="20"/>
              </w:rPr>
              <w:t>Identification</w:t>
            </w:r>
          </w:p>
        </w:tc>
        <w:tc>
          <w:tcPr>
            <w:tcW w:type="dxa" w:w="6236"/>
            <w:shd w:val="clear" w:color="auto" w:fill="F8F9FA"/>
          </w:tcPr>
          <w:p>
            <w:r/>
            <w:r>
              <w:rPr>
                <w:sz w:val="20"/>
              </w:rPr>
              <w:t>Choisir son prénom à chaque connexion</w:t>
            </w:r>
          </w:p>
        </w:tc>
      </w:tr>
    </w:tbl>
    <w:p>
      <w:pPr>
        <w:spacing w:after="80"/>
      </w:pPr>
      <w:r>
        <w:rPr>
          <w:b w:val="0"/>
          <w:i/>
          <w:color w:val="555555"/>
          <w:sz w:val="20"/>
        </w:rPr>
        <w:t>💡 Sur téléphone : ouvrir l'URL dans Chrome → menu ⋮ → "Ajouter à l'écran d'accueil" pour l'installer comme une vraie appli.</w:t>
      </w:r>
    </w:p>
    <w:p>
      <w:pPr>
        <w:spacing w:before="280" w:after="120"/>
      </w:pPr>
      <w:r>
        <w:rPr>
          <w:b/>
          <w:color w:val="FF6B35"/>
          <w:sz w:val="32"/>
        </w:rPr>
        <w:t>👥 Équipe (9 collaborateurs)</w:t>
      </w:r>
    </w:p>
    <w:p>
      <w:pPr>
        <w:spacing w:after="80"/>
      </w:pPr>
      <w:r>
        <w:rPr>
          <w:b/>
          <w:i w:val="0"/>
          <w:sz w:val="22"/>
        </w:rPr>
        <w:t>Patrons : Johann, E.Poncey</w:t>
      </w:r>
    </w:p>
    <w:p>
      <w:pPr>
        <w:spacing w:after="80"/>
      </w:pPr>
      <w:r>
        <w:rPr>
          <w:b w:val="0"/>
          <w:i w:val="0"/>
          <w:sz w:val="22"/>
        </w:rPr>
        <w:t>Collaboratrices : Ombeline, Julie, Priscillia, Amélie, Justine, Wiam, Wendy</w:t>
      </w:r>
    </w:p>
    <w:p>
      <w:pPr>
        <w:spacing w:before="280" w:after="120"/>
      </w:pPr>
      <w:r>
        <w:rPr>
          <w:b/>
          <w:color w:val="FF6B35"/>
          <w:sz w:val="32"/>
        </w:rPr>
        <w:t>📋 Les 11 modules de l'application</w:t>
      </w:r>
    </w:p>
    <w:tbl>
      <w:tblPr>
        <w:tblStyle w:val="LightGrid-Accent1"/>
        <w:tblW w:type="auto" w:w="0"/>
        <w:tblLook w:firstColumn="1" w:firstRow="1" w:lastColumn="0" w:lastRow="0" w:noHBand="0" w:noVBand="1" w:val="04A0"/>
      </w:tblPr>
      <w:tblGrid>
        <w:gridCol w:w="3324"/>
        <w:gridCol w:w="3324"/>
        <w:gridCol w:w="3324"/>
      </w:tblGrid>
      <w:tr>
        <w:tc>
          <w:tcPr>
            <w:tcW w:type="dxa" w:w="1701"/>
            <w:shd w:val="clear" w:color="auto" w:fill="1A1A2E"/>
          </w:tcPr>
          <w:p>
            <w:r/>
            <w:r>
              <w:rPr>
                <w:b/>
                <w:color w:val="FFFFFF"/>
                <w:sz w:val="20"/>
              </w:rPr>
              <w:t>Onglet</w:t>
            </w:r>
          </w:p>
        </w:tc>
        <w:tc>
          <w:tcPr>
            <w:tcW w:type="dxa" w:w="2835"/>
            <w:shd w:val="clear" w:color="auto" w:fill="1A1A2E"/>
          </w:tcPr>
          <w:p>
            <w:r/>
            <w:r>
              <w:rPr>
                <w:b/>
                <w:color w:val="FFFFFF"/>
                <w:sz w:val="20"/>
              </w:rPr>
              <w:t>Ce qu'on y fait</w:t>
            </w:r>
          </w:p>
        </w:tc>
        <w:tc>
          <w:tcPr>
            <w:tcW w:type="dxa" w:w="4819"/>
            <w:shd w:val="clear" w:color="auto" w:fill="1A1A2E"/>
          </w:tcPr>
          <w:p>
            <w:r/>
            <w:r>
              <w:rPr>
                <w:b/>
                <w:color w:val="FFFFFF"/>
                <w:sz w:val="20"/>
              </w:rPr>
              <w:t>Fonctionnalités clés</w:t>
            </w:r>
          </w:p>
        </w:tc>
      </w:tr>
      <w:tr>
        <w:tc>
          <w:tcPr>
            <w:tcW w:type="dxa" w:w="1701"/>
            <w:shd w:val="clear" w:color="auto" w:fill="F8F9FA"/>
          </w:tcPr>
          <w:p>
            <w:r/>
            <w:r>
              <w:rPr>
                <w:sz w:val="20"/>
              </w:rPr>
              <w:t>📋 Liste</w:t>
            </w:r>
          </w:p>
        </w:tc>
        <w:tc>
          <w:tcPr>
            <w:tcW w:type="dxa" w:w="2835"/>
            <w:shd w:val="clear" w:color="auto" w:fill="F8F9FA"/>
          </w:tcPr>
          <w:p>
            <w:r/>
            <w:r>
              <w:rPr>
                <w:sz w:val="20"/>
              </w:rPr>
              <w:t>Tâches, RDV et suivis personnels</w:t>
            </w:r>
          </w:p>
        </w:tc>
        <w:tc>
          <w:tcPr>
            <w:tcW w:type="dxa" w:w="4819"/>
            <w:shd w:val="clear" w:color="auto" w:fill="F8F9FA"/>
          </w:tcPr>
          <w:p>
            <w:r/>
            <w:r>
              <w:rPr>
                <w:sz w:val="20"/>
              </w:rPr>
              <w:t>Vue perso · Priorités · Statuts · Vue globale pour responsables</w:t>
            </w:r>
          </w:p>
        </w:tc>
      </w:tr>
      <w:tr>
        <w:tc>
          <w:tcPr>
            <w:tcW w:type="dxa" w:w="1701"/>
          </w:tcPr>
          <w:p>
            <w:r/>
            <w:r>
              <w:rPr>
                <w:sz w:val="20"/>
              </w:rPr>
              <w:t>📅 Calendrier</w:t>
            </w:r>
          </w:p>
        </w:tc>
        <w:tc>
          <w:tcPr>
            <w:tcW w:type="dxa" w:w="2835"/>
          </w:tcPr>
          <w:p>
            <w:r/>
            <w:r>
              <w:rPr>
                <w:sz w:val="20"/>
              </w:rPr>
              <w:t>Vue agenda des RDV et tâches</w:t>
            </w:r>
          </w:p>
        </w:tc>
        <w:tc>
          <w:tcPr>
            <w:tcW w:type="dxa" w:w="4819"/>
          </w:tcPr>
          <w:p>
            <w:r/>
            <w:r>
              <w:rPr>
                <w:sz w:val="20"/>
              </w:rPr>
              <w:t>Vue mensuelle · Clic = panneau consultation · Plages horaires</w:t>
            </w:r>
          </w:p>
        </w:tc>
      </w:tr>
      <w:tr>
        <w:tc>
          <w:tcPr>
            <w:tcW w:type="dxa" w:w="1701"/>
            <w:shd w:val="clear" w:color="auto" w:fill="F8F9FA"/>
          </w:tcPr>
          <w:p>
            <w:r/>
            <w:r>
              <w:rPr>
                <w:sz w:val="20"/>
              </w:rPr>
              <w:t>👥 Clients</w:t>
            </w:r>
          </w:p>
        </w:tc>
        <w:tc>
          <w:tcPr>
            <w:tcW w:type="dxa" w:w="2835"/>
            <w:shd w:val="clear" w:color="auto" w:fill="F8F9FA"/>
          </w:tcPr>
          <w:p>
            <w:r/>
            <w:r>
              <w:rPr>
                <w:sz w:val="20"/>
              </w:rPr>
              <w:t>Base clients complète</w:t>
            </w:r>
          </w:p>
        </w:tc>
        <w:tc>
          <w:tcPr>
            <w:tcW w:type="dxa" w:w="4819"/>
            <w:shd w:val="clear" w:color="auto" w:fill="F8F9FA"/>
          </w:tcPr>
          <w:p>
            <w:r/>
            <w:r>
              <w:rPr>
                <w:sz w:val="20"/>
              </w:rPr>
              <w:t>Import Excel · Recherche · Vue 360° (contrats + sinistres + MED)</w:t>
            </w:r>
          </w:p>
        </w:tc>
      </w:tr>
      <w:tr>
        <w:tc>
          <w:tcPr>
            <w:tcW w:type="dxa" w:w="1701"/>
          </w:tcPr>
          <w:p>
            <w:r/>
            <w:r>
              <w:rPr>
                <w:sz w:val="20"/>
              </w:rPr>
              <w:t>📄 Contrats</w:t>
            </w:r>
          </w:p>
        </w:tc>
        <w:tc>
          <w:tcPr>
            <w:tcW w:type="dxa" w:w="2835"/>
          </w:tcPr>
          <w:p>
            <w:r/>
            <w:r>
              <w:rPr>
                <w:sz w:val="20"/>
              </w:rPr>
              <w:t>Suivi contrats et primes</w:t>
            </w:r>
          </w:p>
        </w:tc>
        <w:tc>
          <w:tcPr>
            <w:tcW w:type="dxa" w:w="4819"/>
          </w:tcPr>
          <w:p>
            <w:r/>
            <w:r>
              <w:rPr>
                <w:sz w:val="20"/>
              </w:rPr>
              <w:t>Import CSV · Statut payé/impayé · Historique annuel · Alertes</w:t>
            </w:r>
          </w:p>
        </w:tc>
      </w:tr>
      <w:tr>
        <w:tc>
          <w:tcPr>
            <w:tcW w:type="dxa" w:w="1701"/>
            <w:shd w:val="clear" w:color="auto" w:fill="F8F9FA"/>
          </w:tcPr>
          <w:p>
            <w:r/>
            <w:r>
              <w:rPr>
                <w:sz w:val="20"/>
              </w:rPr>
              <w:t>🔔 Échéances</w:t>
            </w:r>
          </w:p>
        </w:tc>
        <w:tc>
          <w:tcPr>
            <w:tcW w:type="dxa" w:w="2835"/>
            <w:shd w:val="clear" w:color="auto" w:fill="F8F9FA"/>
          </w:tcPr>
          <w:p>
            <w:r/>
            <w:r>
              <w:rPr>
                <w:sz w:val="20"/>
              </w:rPr>
              <w:t>Contrats arrivant à terme</w:t>
            </w:r>
          </w:p>
        </w:tc>
        <w:tc>
          <w:tcPr>
            <w:tcW w:type="dxa" w:w="4819"/>
            <w:shd w:val="clear" w:color="auto" w:fill="F8F9FA"/>
          </w:tcPr>
          <w:p>
            <w:r/>
            <w:r>
              <w:rPr>
                <w:sz w:val="20"/>
              </w:rPr>
              <w:t>Alertes 90j/60j/30j · Mails renouvellement · Suivi envois</w:t>
            </w:r>
          </w:p>
        </w:tc>
      </w:tr>
      <w:tr>
        <w:tc>
          <w:tcPr>
            <w:tcW w:type="dxa" w:w="1701"/>
          </w:tcPr>
          <w:p>
            <w:r/>
            <w:r>
              <w:rPr>
                <w:sz w:val="20"/>
              </w:rPr>
              <w:t>🛡️ Sinistres</w:t>
            </w:r>
          </w:p>
        </w:tc>
        <w:tc>
          <w:tcPr>
            <w:tcW w:type="dxa" w:w="2835"/>
          </w:tcPr>
          <w:p>
            <w:r/>
            <w:r>
              <w:rPr>
                <w:sz w:val="20"/>
              </w:rPr>
              <w:t>Dossiers sinistres standard</w:t>
            </w:r>
          </w:p>
        </w:tc>
        <w:tc>
          <w:tcPr>
            <w:tcW w:type="dxa" w:w="4819"/>
          </w:tcPr>
          <w:p>
            <w:r/>
            <w:r>
              <w:rPr>
                <w:sz w:val="20"/>
              </w:rPr>
              <w:t>Mails type · Pièces justificatives · Export PDF · Historique</w:t>
            </w:r>
          </w:p>
        </w:tc>
      </w:tr>
      <w:tr>
        <w:tc>
          <w:tcPr>
            <w:tcW w:type="dxa" w:w="1701"/>
            <w:shd w:val="clear" w:color="auto" w:fill="F8F9FA"/>
          </w:tcPr>
          <w:p>
            <w:r/>
            <w:r>
              <w:rPr>
                <w:sz w:val="20"/>
              </w:rPr>
              <w:t>🏹 Chasse</w:t>
            </w:r>
          </w:p>
        </w:tc>
        <w:tc>
          <w:tcPr>
            <w:tcW w:type="dxa" w:w="2835"/>
            <w:shd w:val="clear" w:color="auto" w:fill="F8F9FA"/>
          </w:tcPr>
          <w:p>
            <w:r/>
            <w:r>
              <w:rPr>
                <w:sz w:val="20"/>
              </w:rPr>
              <w:t>Sinistres chasse et nature</w:t>
            </w:r>
          </w:p>
        </w:tc>
        <w:tc>
          <w:tcPr>
            <w:tcW w:type="dxa" w:w="4819"/>
            <w:shd w:val="clear" w:color="auto" w:fill="F8F9FA"/>
          </w:tcPr>
          <w:p>
            <w:r/>
            <w:r>
              <w:rPr>
                <w:sz w:val="20"/>
              </w:rPr>
              <w:t>Module dédié avec types et mails spécifiques chasse</w:t>
            </w:r>
          </w:p>
        </w:tc>
      </w:tr>
      <w:tr>
        <w:tc>
          <w:tcPr>
            <w:tcW w:type="dxa" w:w="1701"/>
          </w:tcPr>
          <w:p>
            <w:r/>
            <w:r>
              <w:rPr>
                <w:sz w:val="20"/>
              </w:rPr>
              <w:t>☀️ Matin</w:t>
            </w:r>
          </w:p>
        </w:tc>
        <w:tc>
          <w:tcPr>
            <w:tcW w:type="dxa" w:w="2835"/>
          </w:tcPr>
          <w:p>
            <w:r/>
            <w:r>
              <w:rPr>
                <w:sz w:val="20"/>
              </w:rPr>
              <w:t>Dashboard quotidien</w:t>
            </w:r>
          </w:p>
        </w:tc>
        <w:tc>
          <w:tcPr>
            <w:tcW w:type="dxa" w:w="4819"/>
          </w:tcPr>
          <w:p>
            <w:r/>
            <w:r>
              <w:rPr>
                <w:sz w:val="20"/>
              </w:rPr>
              <w:t>Tous les dossiers urgents à traiter dans la journée</w:t>
            </w:r>
          </w:p>
        </w:tc>
      </w:tr>
      <w:tr>
        <w:tc>
          <w:tcPr>
            <w:tcW w:type="dxa" w:w="1701"/>
            <w:shd w:val="clear" w:color="auto" w:fill="F8F9FA"/>
          </w:tcPr>
          <w:p>
            <w:r/>
            <w:r>
              <w:rPr>
                <w:sz w:val="20"/>
              </w:rPr>
              <w:t>📬 MED</w:t>
            </w:r>
          </w:p>
        </w:tc>
        <w:tc>
          <w:tcPr>
            <w:tcW w:type="dxa" w:w="2835"/>
            <w:shd w:val="clear" w:color="auto" w:fill="F8F9FA"/>
          </w:tcPr>
          <w:p>
            <w:r/>
            <w:r>
              <w:rPr>
                <w:sz w:val="20"/>
              </w:rPr>
              <w:t>Mises en demeure Allianz</w:t>
            </w:r>
          </w:p>
        </w:tc>
        <w:tc>
          <w:tcPr>
            <w:tcW w:type="dxa" w:w="4819"/>
            <w:shd w:val="clear" w:color="auto" w:fill="F8F9FA"/>
          </w:tcPr>
          <w:p>
            <w:r/>
            <w:r>
              <w:rPr>
                <w:sz w:val="20"/>
              </w:rPr>
              <w:t>Import mensuel · 3 mails type · Suivi paiement</w:t>
            </w:r>
          </w:p>
        </w:tc>
      </w:tr>
      <w:tr>
        <w:tc>
          <w:tcPr>
            <w:tcW w:type="dxa" w:w="1701"/>
          </w:tcPr>
          <w:p>
            <w:r/>
            <w:r>
              <w:rPr>
                <w:sz w:val="20"/>
              </w:rPr>
              <w:t>📓 Journal</w:t>
            </w:r>
          </w:p>
        </w:tc>
        <w:tc>
          <w:tcPr>
            <w:tcW w:type="dxa" w:w="2835"/>
          </w:tcPr>
          <w:p>
            <w:r/>
            <w:r>
              <w:rPr>
                <w:sz w:val="20"/>
              </w:rPr>
              <w:t>Historique de l'équipe</w:t>
            </w:r>
          </w:p>
        </w:tc>
        <w:tc>
          <w:tcPr>
            <w:tcW w:type="dxa" w:w="4819"/>
          </w:tcPr>
          <w:p>
            <w:r/>
            <w:r>
              <w:rPr>
                <w:sz w:val="20"/>
              </w:rPr>
              <w:t>Actions horodatées par collaboratrice · Filtres</w:t>
            </w:r>
          </w:p>
        </w:tc>
      </w:tr>
      <w:tr>
        <w:tc>
          <w:tcPr>
            <w:tcW w:type="dxa" w:w="1701"/>
            <w:shd w:val="clear" w:color="auto" w:fill="F8F9FA"/>
          </w:tcPr>
          <w:p>
            <w:r/>
            <w:r>
              <w:rPr>
                <w:sz w:val="20"/>
              </w:rPr>
              <w:t>📊 Stats</w:t>
            </w:r>
          </w:p>
        </w:tc>
        <w:tc>
          <w:tcPr>
            <w:tcW w:type="dxa" w:w="2835"/>
            <w:shd w:val="clear" w:color="auto" w:fill="F8F9FA"/>
          </w:tcPr>
          <w:p>
            <w:r/>
            <w:r>
              <w:rPr>
                <w:sz w:val="20"/>
              </w:rPr>
              <w:t>Tableaux de bord</w:t>
            </w:r>
          </w:p>
        </w:tc>
        <w:tc>
          <w:tcPr>
            <w:tcW w:type="dxa" w:w="4819"/>
            <w:shd w:val="clear" w:color="auto" w:fill="F8F9FA"/>
          </w:tcPr>
          <w:p>
            <w:r/>
            <w:r>
              <w:rPr>
                <w:sz w:val="20"/>
              </w:rPr>
              <w:t>Activité, tâches, sinistres, montants, délais moyens</w:t>
            </w:r>
          </w:p>
        </w:tc>
      </w:tr>
    </w:tbl>
    <w:p>
      <w:pPr>
        <w:spacing w:before="280" w:after="120"/>
      </w:pPr>
      <w:r>
        <w:rPr>
          <w:b/>
          <w:color w:val="FF6B35"/>
          <w:sz w:val="32"/>
        </w:rPr>
        <w:t>⭐ Points clés à retenir</w:t>
      </w:r>
    </w:p>
    <w:p>
      <w:pPr>
        <w:spacing w:after="80"/>
      </w:pPr>
      <w:r>
        <w:rPr>
          <w:b/>
          <w:i w:val="0"/>
          <w:color w:val="FF6B35"/>
          <w:sz w:val="22"/>
        </w:rPr>
        <w:t>🔍 Recherche globale (Ctrl+K)</w:t>
      </w:r>
    </w:p>
    <w:p>
      <w:pPr>
        <w:spacing w:after="80"/>
      </w:pPr>
      <w:r>
        <w:rPr>
          <w:b w:val="0"/>
          <w:i w:val="0"/>
          <w:sz w:val="20"/>
        </w:rPr>
        <w:t>Depuis n'importe quel écran, taper un nom de client, un numéro de contrat ou de sinistre. Résultats en temps réel dans tous les modules.</w:t>
      </w:r>
    </w:p>
    <w:p>
      <w:pPr>
        <w:spacing w:after="80"/>
      </w:pPr>
      <w:r>
        <w:rPr>
          <w:b/>
          <w:i w:val="0"/>
          <w:color w:val="FF6B35"/>
          <w:sz w:val="22"/>
        </w:rPr>
        <w:t>✉️ Mails type prêts à l'emploi</w:t>
      </w:r>
    </w:p>
    <w:p>
      <w:pPr>
        <w:spacing w:after="80"/>
      </w:pPr>
      <w:r>
        <w:rPr>
          <w:b w:val="0"/>
          <w:i w:val="0"/>
          <w:sz w:val="20"/>
        </w:rPr>
        <w:t>Relances sinistres, MED, renouvellements : copier-coller en un clic. La signature du cabinet est déjà intégrée dans chaque modèle.</w:t>
      </w:r>
    </w:p>
    <w:p>
      <w:pPr>
        <w:spacing w:after="80"/>
      </w:pPr>
      <w:r>
        <w:rPr>
          <w:b/>
          <w:i w:val="0"/>
          <w:color w:val="FF6B35"/>
          <w:sz w:val="22"/>
        </w:rPr>
        <w:t>✅ Traçabilité complète</w:t>
      </w:r>
    </w:p>
    <w:p>
      <w:pPr>
        <w:spacing w:after="80"/>
      </w:pPr>
      <w:r>
        <w:rPr>
          <w:b w:val="0"/>
          <w:i w:val="0"/>
          <w:sz w:val="20"/>
        </w:rPr>
        <w:t>Chaque mail envoyé, statut modifié ou dossier créé est enregistré avec le nom de la personne et l'heure. Visible dans le Journal.</w:t>
      </w:r>
    </w:p>
    <w:p>
      <w:pPr>
        <w:spacing w:after="80"/>
      </w:pPr>
      <w:r>
        <w:rPr>
          <w:b/>
          <w:i w:val="0"/>
          <w:color w:val="FF6B35"/>
          <w:sz w:val="22"/>
        </w:rPr>
        <w:t>📥 Import Excel / CSV</w:t>
      </w:r>
    </w:p>
    <w:p>
      <w:pPr>
        <w:spacing w:after="80"/>
      </w:pPr>
      <w:r>
        <w:rPr>
          <w:b w:val="0"/>
          <w:i w:val="0"/>
          <w:sz w:val="20"/>
        </w:rPr>
        <w:t>Les clients, contrats et dossiers MED Allianz s'importent directement depuis un fichier Excel ou CSV. Modèle téléchargeable depuis l'appli.</w:t>
      </w:r>
    </w:p>
    <w:p>
      <w:pPr>
        <w:spacing w:after="80"/>
      </w:pPr>
      <w:r>
        <w:rPr>
          <w:b/>
          <w:i w:val="0"/>
          <w:color w:val="FF6B35"/>
          <w:sz w:val="22"/>
        </w:rPr>
        <w:t>📄 Export PDF des dossiers</w:t>
      </w:r>
    </w:p>
    <w:p>
      <w:pPr>
        <w:spacing w:after="80"/>
      </w:pPr>
      <w:r>
        <w:rPr>
          <w:b w:val="0"/>
          <w:i w:val="0"/>
          <w:sz w:val="20"/>
        </w:rPr>
        <w:t>Chaque dossier sinistre peut être exporté en PDF complet : informations, pièces justificatives, historique des courriers, notes internes.</w:t>
      </w:r>
    </w:p>
    <w:p>
      <w:pPr>
        <w:spacing w:after="80"/>
      </w:pPr>
      <w:r>
        <w:rPr>
          <w:b/>
          <w:i w:val="0"/>
          <w:color w:val="FF6B35"/>
          <w:sz w:val="22"/>
        </w:rPr>
        <w:t>📵 Fonctionne hors-ligne</w:t>
      </w:r>
    </w:p>
    <w:p>
      <w:pPr>
        <w:spacing w:after="80"/>
      </w:pPr>
      <w:r>
        <w:rPr>
          <w:b w:val="0"/>
          <w:i w:val="0"/>
          <w:sz w:val="20"/>
        </w:rPr>
        <w:t>Si le wifi coupe, l'appli continue à fonctionner normalement. Les modifications sont synchronisées automatiquement à la reconnexion.</w:t>
      </w:r>
    </w:p>
    <w:p>
      <w:pPr>
        <w:spacing w:before="280" w:after="120"/>
      </w:pPr>
      <w:r>
        <w:rPr>
          <w:b/>
          <w:color w:val="FF6B35"/>
          <w:sz w:val="32"/>
        </w:rPr>
        <w:t>⚠️ Règle importante</w:t>
      </w:r>
    </w:p>
    <w:tbl>
      <w:tblPr>
        <w:tblW w:type="auto" w:w="0"/>
        <w:tblLook w:firstColumn="1" w:firstRow="1" w:lastColumn="0" w:lastRow="0" w:noHBand="0" w:noVBand="1" w:val="04A0"/>
      </w:tblPr>
      <w:tblGrid>
        <w:gridCol w:w="9972"/>
      </w:tblGrid>
      <w:tr>
        <w:tc>
          <w:tcPr>
            <w:tcW w:type="dxa" w:w="9972"/>
            <w:shd w:val="clear" w:color="auto" w:fill="F8F9FA"/>
          </w:tcPr>
          <w:p>
            <w:r/>
            <w:r>
              <w:rPr>
                <w:sz w:val="20"/>
              </w:rPr>
              <w:t>L'application est partagée en temps réel entre toutes les collaboratrices. Ce que vous saisissez est visible immédiatement par les autres. Pensez à toujours vous identifier avec votre prénom à chaque connexion pour que vos actions soient correctement attribuées dans le journal.</w:t>
            </w:r>
          </w:p>
        </w:tc>
      </w:tr>
    </w:tbl>
    <w:p/>
    <w:p/>
    <w:p>
      <w:pPr>
        <w:jc w:val="center"/>
      </w:pPr>
      <w:r>
        <w:rPr>
          <w:i/>
          <w:color w:val="555555"/>
          <w:sz w:val="18"/>
        </w:rPr>
        <w:t>Cabinet PONCEY LEBAS — Document interne confidentiel</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