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7F7F7F"/>
          <w:sz w:val="20"/>
          <w:szCs w:val="20"/>
        </w:rPr>
        <w:t xml:space="preserve">SOCO Recommendation Intelligence Engine</w:t>
      </w:r>
    </w:p>
    <w:p>
      <w:pPr>
        <w:spacing w:after="60"/>
      </w:pPr>
      <w:r>
        <w:rPr>
          <w:rFonts w:ascii="Arial" w:cs="Arial" w:eastAsia="Arial" w:hAnsi="Arial"/>
          <w:b/>
          <w:bCs/>
          <w:color w:val="4B2E63"/>
          <w:sz w:val="32"/>
          <w:szCs w:val="32"/>
        </w:rPr>
        <w:t xml:space="preserve">M1 demonstration plan</w:t>
      </w:r>
    </w:p>
    <w:p>
      <w:pPr>
        <w:spacing w:after="240"/>
      </w:pPr>
      <w:r>
        <w:rPr>
          <w:rFonts w:ascii="Arial" w:cs="Arial" w:eastAsia="Arial" w:hAnsi="Arial"/>
          <w:i/>
          <w:iCs/>
          <w:color w:val="7F7F7F"/>
          <w:sz w:val="22"/>
          <w:szCs w:val="22"/>
        </w:rPr>
        <w:t xml:space="preserve">What to build, how to generate the data, and how to run it. Four working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Field</w:t>
            </w:r>
          </w:p>
        </w:tc>
        <w:tc>
          <w:tcPr>
            <w:tcW w:type="dxa" w:w="72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Detail</w:t>
            </w:r>
          </w:p>
        </w:tc>
      </w:tr>
      <w:tr>
        <w:tc>
          <w:tcPr>
            <w:tcW w:type="dxa" w:w="2100"/>
            <w:tcMar>
              <w:top w:type="dxa" w:w="80"/>
              <w:left w:type="dxa" w:w="110"/>
              <w:bottom w:type="dxa" w:w="80"/>
              <w:right w:type="dxa" w:w="110"/>
            </w:tcMar>
          </w:tcPr>
          <w:p>
            <w:pPr>
              <w:spacing w:after="40" w:line="260"/>
            </w:pPr>
            <w:r>
              <w:rPr>
                <w:rFonts w:ascii="Arial" w:cs="Arial" w:eastAsia="Arial" w:hAnsi="Arial"/>
                <w:sz w:val="18"/>
                <w:szCs w:val="18"/>
              </w:rPr>
              <w:t xml:space="preserve">Reference</w:t>
            </w:r>
          </w:p>
        </w:tc>
        <w:tc>
          <w:tcPr>
            <w:tcW w:type="dxa" w:w="7260"/>
            <w:tcMar>
              <w:top w:type="dxa" w:w="80"/>
              <w:left w:type="dxa" w:w="110"/>
              <w:bottom w:type="dxa" w:w="80"/>
              <w:right w:type="dxa" w:w="110"/>
            </w:tcMar>
          </w:tcPr>
          <w:p>
            <w:pPr>
              <w:spacing w:after="40" w:line="260"/>
            </w:pPr>
            <w:r>
              <w:rPr>
                <w:rFonts w:ascii="Arial" w:cs="Arial" w:eastAsia="Arial" w:hAnsi="Arial"/>
                <w:sz w:val="18"/>
                <w:szCs w:val="18"/>
              </w:rPr>
              <w:t xml:space="preserve">SOCO-REC-DS-014</w:t>
            </w:r>
          </w:p>
        </w:tc>
      </w:tr>
      <w:tr>
        <w:tc>
          <w:tcPr>
            <w:tcW w:type="dxa" w:w="2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Version</w:t>
            </w:r>
          </w:p>
        </w:tc>
        <w:tc>
          <w:tcPr>
            <w:tcW w:type="dxa" w:w="72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2.0. Supersedes v1 of 7 September 2026.</w:t>
            </w:r>
          </w:p>
        </w:tc>
      </w:tr>
      <w:tr>
        <w:tc>
          <w:tcPr>
            <w:tcW w:type="dxa" w:w="2100"/>
            <w:tcMar>
              <w:top w:type="dxa" w:w="80"/>
              <w:left w:type="dxa" w:w="110"/>
              <w:bottom w:type="dxa" w:w="80"/>
              <w:right w:type="dxa" w:w="110"/>
            </w:tcMar>
          </w:tcPr>
          <w:p>
            <w:pPr>
              <w:spacing w:after="40" w:line="260"/>
            </w:pPr>
            <w:r>
              <w:rPr>
                <w:rFonts w:ascii="Arial" w:cs="Arial" w:eastAsia="Arial" w:hAnsi="Arial"/>
                <w:sz w:val="18"/>
                <w:szCs w:val="18"/>
              </w:rPr>
              <w:t xml:space="preserve">For</w:t>
            </w:r>
          </w:p>
        </w:tc>
        <w:tc>
          <w:tcPr>
            <w:tcW w:type="dxa" w:w="7260"/>
            <w:tcMar>
              <w:top w:type="dxa" w:w="80"/>
              <w:left w:type="dxa" w:w="110"/>
              <w:bottom w:type="dxa" w:w="80"/>
              <w:right w:type="dxa" w:w="110"/>
            </w:tcMar>
          </w:tcPr>
          <w:p>
            <w:pPr>
              <w:spacing w:after="40" w:line="260"/>
            </w:pPr>
            <w:r>
              <w:rPr>
                <w:rFonts w:ascii="Arial" w:cs="Arial" w:eastAsia="Arial" w:hAnsi="Arial"/>
                <w:sz w:val="18"/>
                <w:szCs w:val="18"/>
              </w:rPr>
              <w:t xml:space="preserve">Allen, build. Kala, narration.</w:t>
            </w:r>
          </w:p>
        </w:tc>
      </w:tr>
      <w:tr>
        <w:tc>
          <w:tcPr>
            <w:tcW w:type="dxa" w:w="2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Specification</w:t>
            </w:r>
          </w:p>
        </w:tc>
        <w:tc>
          <w:tcPr>
            <w:tcW w:type="dxa" w:w="72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SOCO-REC-DS-008 v3, sections 3 to 8. Build brief SOCO-REC-DS-012 v2. Change register SOCO-REC-DS-018.</w:t>
            </w:r>
          </w:p>
        </w:tc>
      </w:tr>
      <w:tr>
        <w:tc>
          <w:tcPr>
            <w:tcW w:type="dxa" w:w="2100"/>
            <w:tcMar>
              <w:top w:type="dxa" w:w="80"/>
              <w:left w:type="dxa" w:w="110"/>
              <w:bottom w:type="dxa" w:w="80"/>
              <w:right w:type="dxa" w:w="110"/>
            </w:tcMar>
          </w:tcPr>
          <w:p>
            <w:pPr>
              <w:spacing w:after="40" w:line="260"/>
            </w:pPr>
            <w:r>
              <w:rPr>
                <w:rFonts w:ascii="Arial" w:cs="Arial" w:eastAsia="Arial" w:hAnsi="Arial"/>
                <w:sz w:val="18"/>
                <w:szCs w:val="18"/>
              </w:rPr>
              <w:t xml:space="preserve">Audience for the demo</w:t>
            </w:r>
          </w:p>
        </w:tc>
        <w:tc>
          <w:tcPr>
            <w:tcW w:type="dxa" w:w="7260"/>
            <w:tcMar>
              <w:top w:type="dxa" w:w="80"/>
              <w:left w:type="dxa" w:w="110"/>
              <w:bottom w:type="dxa" w:w="80"/>
              <w:right w:type="dxa" w:w="110"/>
            </w:tcMar>
          </w:tcPr>
          <w:p>
            <w:pPr>
              <w:spacing w:after="40" w:line="260"/>
            </w:pPr>
            <w:r>
              <w:rPr>
                <w:rFonts w:ascii="Arial" w:cs="Arial" w:eastAsia="Arial" w:hAnsi="Arial"/>
                <w:sz w:val="18"/>
                <w:szCs w:val="18"/>
              </w:rPr>
              <w:t xml:space="preserve">Suresh, Aravinth, Mathew</w:t>
            </w:r>
          </w:p>
        </w:tc>
      </w:tr>
      <w:tr>
        <w:tc>
          <w:tcPr>
            <w:tcW w:type="dxa" w:w="2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Duration</w:t>
            </w:r>
          </w:p>
        </w:tc>
        <w:tc>
          <w:tcPr>
            <w:tcW w:type="dxa" w:w="72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Seventeen minutes of demonstration, fifteen of questions.</w:t>
            </w:r>
          </w:p>
        </w:tc>
      </w:tr>
    </w:tbl>
    <w:p>
      <w:pPr>
        <w:spacing w:after="200"/>
      </w:pPr>
    </w:p>
    <w:p>
      <w:pPr>
        <w:pStyle w:val="Heading1"/>
        <w:spacing w:after="140" w:before="280"/>
      </w:pPr>
      <w:r>
        <w:rPr>
          <w:rFonts w:ascii="Arial" w:cs="Arial" w:eastAsia="Arial" w:hAnsi="Arial"/>
          <w:b/>
          <w:bCs/>
          <w:color w:val="4B2E63"/>
          <w:sz w:val="26"/>
          <w:szCs w:val="26"/>
        </w:rPr>
        <w:t xml:space="preserve">Changes in version 2</w:t>
      </w:r>
    </w:p>
    <w:p>
      <w:pPr>
        <w:spacing w:after="120" w:line="276"/>
      </w:pPr>
      <w:r>
        <w:rPr>
          <w:rFonts w:ascii="Arial" w:cs="Arial" w:eastAsia="Arial" w:hAnsi="Arial"/>
          <w:sz w:val="20"/>
          <w:szCs w:val="20"/>
        </w:rPr>
        <w:t xml:space="preserve">Version 1 was verified in two directions on 9 September: every user against the specification, and every rule in the specification against the user list. The first direction found redundancy, the second found gaps. Both are corrected here. Full reasoning is in SOCO-REC-DS-018.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7460"/>
      </w:tblGrid>
      <w:tr>
        <w:trPr>
          <w:tblHeader/>
        </w:trPr>
        <w:tc>
          <w:tcPr>
            <w:tcW w:type="dxa" w:w="11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Ref</w:t>
            </w:r>
          </w:p>
        </w:tc>
        <w:tc>
          <w:tcPr>
            <w:tcW w:type="dxa" w:w="8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Section</w:t>
            </w:r>
          </w:p>
        </w:tc>
        <w:tc>
          <w:tcPr>
            <w:tcW w:type="dxa" w:w="74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Change</w:t>
            </w:r>
          </w:p>
        </w:tc>
      </w:tr>
      <w:tr>
        <w:tc>
          <w:tcPr>
            <w:tcW w:type="dxa" w:w="1100"/>
            <w:tcMar>
              <w:top w:type="dxa" w:w="80"/>
              <w:left w:type="dxa" w:w="110"/>
              <w:bottom w:type="dxa" w:w="80"/>
              <w:right w:type="dxa" w:w="110"/>
            </w:tcMar>
          </w:tcPr>
          <w:p>
            <w:pPr>
              <w:spacing w:after="40" w:line="260"/>
            </w:pPr>
            <w:r>
              <w:rPr>
                <w:rFonts w:ascii="Arial" w:cs="Arial" w:eastAsia="Arial" w:hAnsi="Arial"/>
                <w:sz w:val="18"/>
                <w:szCs w:val="18"/>
              </w:rPr>
              <w:t xml:space="preserve">C-15, C-16</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2</w:t>
            </w:r>
          </w:p>
        </w:tc>
        <w:tc>
          <w:tcPr>
            <w:tcW w:type="dxa" w:w="7460"/>
            <w:tcMar>
              <w:top w:type="dxa" w:w="80"/>
              <w:left w:type="dxa" w:w="110"/>
              <w:bottom w:type="dxa" w:w="80"/>
              <w:right w:type="dxa" w:w="110"/>
            </w:tcMar>
          </w:tcPr>
          <w:p>
            <w:pPr>
              <w:spacing w:after="40" w:line="260"/>
            </w:pPr>
            <w:r>
              <w:rPr>
                <w:rFonts w:ascii="Arial" w:cs="Arial" w:eastAsia="Arial" w:hAnsi="Arial"/>
                <w:sz w:val="18"/>
                <w:szCs w:val="18"/>
              </w:rPr>
              <w:t xml:space="preserve">Rungs 2 and 3 of the fallback ladder move into the needed column. The display must show two methods side by side, which three of the steps require and the previous wording did not ask for.</w:t>
            </w:r>
          </w:p>
        </w:tc>
      </w:tr>
      <w:tr>
        <w:tc>
          <w:tcPr>
            <w:tcW w:type="dxa" w:w="1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C-17 to C-20</w:t>
            </w:r>
          </w:p>
        </w:tc>
        <w:tc>
          <w:tcPr>
            <w:tcW w:type="dxa" w:w="8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3.1</w:t>
            </w:r>
          </w:p>
        </w:tc>
        <w:tc>
          <w:tcPr>
            <w:tcW w:type="dxa" w:w="7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Declared interests are not emitted as events. The event row gains a view duration and a categories array. The canonical-only rule is scoped, with three named exceptions. A filler population is added.</w:t>
            </w:r>
          </w:p>
        </w:tc>
      </w:tr>
      <w:tr>
        <w:tc>
          <w:tcPr>
            <w:tcW w:type="dxa" w:w="1100"/>
            <w:tcMar>
              <w:top w:type="dxa" w:w="80"/>
              <w:left w:type="dxa" w:w="110"/>
              <w:bottom w:type="dxa" w:w="80"/>
              <w:right w:type="dxa" w:w="110"/>
            </w:tcMar>
          </w:tcPr>
          <w:p>
            <w:pPr>
              <w:spacing w:after="40" w:line="260"/>
            </w:pPr>
            <w:r>
              <w:rPr>
                <w:rFonts w:ascii="Arial" w:cs="Arial" w:eastAsia="Arial" w:hAnsi="Arial"/>
                <w:sz w:val="18"/>
                <w:szCs w:val="18"/>
              </w:rPr>
              <w:t xml:space="preserve">C-21</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3.2</w:t>
            </w:r>
          </w:p>
        </w:tc>
        <w:tc>
          <w:tcPr>
            <w:tcW w:type="dxa" w:w="7460"/>
            <w:tcMar>
              <w:top w:type="dxa" w:w="80"/>
              <w:left w:type="dxa" w:w="110"/>
              <w:bottom w:type="dxa" w:w="80"/>
              <w:right w:type="dxa" w:w="110"/>
            </w:tcMar>
          </w:tcPr>
          <w:p>
            <w:pPr>
              <w:spacing w:after="40" w:line="260"/>
            </w:pPr>
            <w:r>
              <w:rPr>
                <w:rFonts w:ascii="Arial" w:cs="Arial" w:eastAsia="Arial" w:hAnsi="Arial"/>
                <w:sz w:val="18"/>
                <w:szCs w:val="18"/>
              </w:rPr>
              <w:t xml:space="preserve">Eight users proved nothing their twin did not. Their slots are reused for eight behaviours in the specification that no user exercised. Twenty users, twenty distinct points, identifiers unchanged.</w:t>
            </w:r>
          </w:p>
        </w:tc>
      </w:tr>
      <w:tr>
        <w:tc>
          <w:tcPr>
            <w:tcW w:type="dxa" w:w="1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C-22 to C-26, C-34, C-35</w:t>
            </w:r>
          </w:p>
        </w:tc>
        <w:tc>
          <w:tcPr>
            <w:tcW w:type="dxa" w:w="8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3.2</w:t>
            </w:r>
          </w:p>
        </w:tc>
        <w:tc>
          <w:tcPr>
            <w:tcW w:type="dxa" w:w="7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Seven corrections to retained users, and a conformance column added. U01 now states its declared interests, and U17 is marked outside the conformance replay set because the delivered engine has no reversal to compare against.</w:t>
            </w:r>
          </w:p>
        </w:tc>
      </w:tr>
      <w:tr>
        <w:tc>
          <w:tcPr>
            <w:tcW w:type="dxa" w:w="1100"/>
            <w:tcMar>
              <w:top w:type="dxa" w:w="80"/>
              <w:left w:type="dxa" w:w="110"/>
              <w:bottom w:type="dxa" w:w="80"/>
              <w:right w:type="dxa" w:w="110"/>
            </w:tcMar>
          </w:tcPr>
          <w:p>
            <w:pPr>
              <w:spacing w:after="40" w:line="260"/>
            </w:pPr>
            <w:r>
              <w:rPr>
                <w:rFonts w:ascii="Arial" w:cs="Arial" w:eastAsia="Arial" w:hAnsi="Arial"/>
                <w:sz w:val="18"/>
                <w:szCs w:val="18"/>
              </w:rPr>
              <w:t xml:space="preserve">C-27</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3.3</w:t>
            </w:r>
          </w:p>
        </w:tc>
        <w:tc>
          <w:tcPr>
            <w:tcW w:type="dxa" w:w="7460"/>
            <w:tcMar>
              <w:top w:type="dxa" w:w="80"/>
              <w:left w:type="dxa" w:w="110"/>
              <w:bottom w:type="dxa" w:w="80"/>
              <w:right w:type="dxa" w:w="110"/>
            </w:tcMar>
          </w:tcPr>
          <w:p>
            <w:pPr>
              <w:spacing w:after="40" w:line="260"/>
            </w:pPr>
            <w:r>
              <w:rPr>
                <w:rFonts w:ascii="Arial" w:cs="Arial" w:eastAsia="Arial" w:hAnsi="Arial"/>
                <w:sz w:val="18"/>
                <w:szCs w:val="18"/>
              </w:rPr>
              <w:t xml:space="preserve">Four data checks become seven. Two of the original four could not pass against the revised dataset as written.</w:t>
            </w:r>
          </w:p>
        </w:tc>
      </w:tr>
      <w:tr>
        <w:tc>
          <w:tcPr>
            <w:tcW w:type="dxa" w:w="11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C-28, C-29</w:t>
            </w:r>
          </w:p>
        </w:tc>
        <w:tc>
          <w:tcPr>
            <w:tcW w:type="dxa" w:w="8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4</w:t>
            </w:r>
          </w:p>
        </w:tc>
        <w:tc>
          <w:tcPr>
            <w:tcW w:type="dxa" w:w="7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Running order revised to ten steps. Six users that version 1 built but never showed are now on a stated reserve list.</w:t>
            </w:r>
          </w:p>
        </w:tc>
      </w:tr>
      <w:tr>
        <w:tc>
          <w:tcPr>
            <w:tcW w:type="dxa" w:w="1100"/>
            <w:tcMar>
              <w:top w:type="dxa" w:w="80"/>
              <w:left w:type="dxa" w:w="110"/>
              <w:bottom w:type="dxa" w:w="80"/>
              <w:right w:type="dxa" w:w="110"/>
            </w:tcMar>
          </w:tcPr>
          <w:p>
            <w:pPr>
              <w:spacing w:after="40" w:line="260"/>
            </w:pPr>
            <w:r>
              <w:rPr>
                <w:rFonts w:ascii="Arial" w:cs="Arial" w:eastAsia="Arial" w:hAnsi="Arial"/>
                <w:sz w:val="18"/>
                <w:szCs w:val="18"/>
              </w:rPr>
              <w:t xml:space="preserve">C-30, C-31</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5, 6</w:t>
            </w:r>
          </w:p>
        </w:tc>
        <w:tc>
          <w:tcPr>
            <w:tcW w:type="dxa" w:w="7460"/>
            <w:tcMar>
              <w:top w:type="dxa" w:w="80"/>
              <w:left w:type="dxa" w:w="110"/>
              <w:bottom w:type="dxa" w:w="80"/>
              <w:right w:type="dxa" w:w="110"/>
            </w:tcMar>
          </w:tcPr>
          <w:p>
            <w:pPr>
              <w:spacing w:after="40" w:line="260"/>
            </w:pPr>
            <w:r>
              <w:rPr>
                <w:rFonts w:ascii="Arial" w:cs="Arial" w:eastAsia="Arial" w:hAnsi="Arial"/>
                <w:sz w:val="18"/>
                <w:szCs w:val="18"/>
              </w:rPr>
              <w:t xml:space="preserve">Four day plan updated. A fourth anticipated question added on the size of the dataset.</w:t>
            </w:r>
          </w:p>
        </w:tc>
      </w:tr>
    </w:tbl>
    <w:p>
      <w:pPr>
        <w:pStyle w:val="Heading1"/>
        <w:spacing w:after="140" w:before="280"/>
      </w:pPr>
      <w:r>
        <w:rPr>
          <w:rFonts w:ascii="Arial" w:cs="Arial" w:eastAsia="Arial" w:hAnsi="Arial"/>
          <w:b/>
          <w:bCs/>
          <w:color w:val="4B2E63"/>
          <w:sz w:val="26"/>
          <w:szCs w:val="26"/>
        </w:rPr>
        <w:t xml:space="preserve">1. What this demonstrates, and what it does not</w:t>
      </w:r>
    </w:p>
    <w:p>
      <w:pPr>
        <w:spacing w:after="120" w:line="276"/>
      </w:pPr>
      <w:r>
        <w:rPr>
          <w:rFonts w:ascii="Arial" w:cs="Arial" w:eastAsia="Arial" w:hAnsi="Arial"/>
          <w:sz w:val="20"/>
          <w:szCs w:val="20"/>
        </w:rPr>
        <w:t xml:space="preserve">The interest model computes a score per user per category, decays it over time, refuses to count what it should not count, falls back sensibly when there is nothing to compute from, and reproduces the delivered platform score exactly when decay is switched off. All five are demonstrable today.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after="80"/>
            </w:pPr>
            <w:r>
              <w:rPr>
                <w:rFonts w:ascii="Arial" w:cs="Arial" w:eastAsia="Arial" w:hAnsi="Arial"/>
                <w:b/>
                <w:bCs/>
                <w:sz w:val="19"/>
                <w:szCs w:val="19"/>
              </w:rPr>
              <w:t xml:space="preserve">Say this in the first thirty seconds, before anyone asks</w:t>
            </w:r>
          </w:p>
          <w:p>
            <w:pPr>
              <w:spacing w:after="60" w:line="270"/>
            </w:pPr>
            <w:r>
              <w:rPr>
                <w:rFonts w:ascii="Arial" w:cs="Arial" w:eastAsia="Arial" w:hAnsi="Arial"/>
                <w:sz w:val="19"/>
                <w:szCs w:val="19"/>
              </w:rPr>
              <w:t xml:space="preserve">This shows the model computing correctly. It does not show the model recommending well.</w:t>
            </w:r>
          </w:p>
          <w:p>
            <w:pPr>
              <w:spacing w:after="60" w:line="270"/>
            </w:pPr>
            <w:r>
              <w:rPr>
                <w:rFonts w:ascii="Arial" w:cs="Arial" w:eastAsia="Arial" w:hAnsi="Arial"/>
                <w:sz w:val="19"/>
                <w:szCs w:val="19"/>
              </w:rPr>
              <w:t xml:space="preserve">The data is constructed. Two of twelve users on the platform currently carry an interest score, which is not enough to demonstrate anything, so every user in this demo was built to make one specific point.</w:t>
            </w:r>
          </w:p>
          <w:p>
            <w:pPr>
              <w:spacing w:after="60" w:line="270"/>
            </w:pPr>
            <w:r>
              <w:rPr>
                <w:rFonts w:ascii="Arial" w:cs="Arial" w:eastAsia="Arial" w:hAnsi="Arial"/>
                <w:sz w:val="19"/>
                <w:szCs w:val="19"/>
              </w:rPr>
              <w:t xml:space="preserve">Nothing here says whether decay beats time windows, whether thirty days is the right half life, or whether the recommendations are any good. Those questions need real users and cannot be answered before launch.</w:t>
            </w:r>
          </w:p>
          <w:p>
            <w:pPr>
              <w:spacing w:after="60" w:line="270"/>
            </w:pPr>
            <w:r>
              <w:rPr>
                <w:rFonts w:ascii="Arial" w:cs="Arial" w:eastAsia="Arial" w:hAnsi="Arial"/>
                <w:sz w:val="19"/>
                <w:szCs w:val="19"/>
              </w:rPr>
              <w:t xml:space="preserve">This matters beyond the demo. The binding constraint in the workstream scope is that no numeric finding may be reported from test data. Stating the limit up front is what keeps that line intact.</w:t>
            </w:r>
          </w:p>
        </w:tc>
      </w:tr>
    </w:tbl>
    <w:p>
      <w:pPr>
        <w:pStyle w:val="Heading1"/>
        <w:spacing w:after="140" w:before="280"/>
      </w:pPr>
      <w:r>
        <w:rPr>
          <w:rFonts w:ascii="Arial" w:cs="Arial" w:eastAsia="Arial" w:hAnsi="Arial"/>
          <w:b/>
          <w:bCs/>
          <w:color w:val="4B2E63"/>
          <w:sz w:val="26"/>
          <w:szCs w:val="26"/>
        </w:rPr>
        <w:t xml:space="preserve">2. What has to be built</w:t>
      </w:r>
    </w:p>
    <w:p>
      <w:pPr>
        <w:spacing w:after="120" w:line="276"/>
      </w:pPr>
      <w:r>
        <w:rPr>
          <w:rFonts w:ascii="Arial" w:cs="Arial" w:eastAsia="Arial" w:hAnsi="Arial"/>
          <w:sz w:val="20"/>
          <w:szCs w:val="20"/>
        </w:rPr>
        <w:t xml:space="preserve">Less than the sprint requires, but more than version 1 of this plan asked for. Two of the eight Sprint 2 build items are not needed for a demonstration and should be left until after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Needed</w:t>
            </w:r>
          </w:p>
        </w:tc>
        <w:tc>
          <w:tcPr>
            <w:tcW w:type="dxa" w:w="468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Not needed for the demo</w:t>
            </w:r>
          </w:p>
        </w:tc>
      </w:tr>
      <w:tr>
        <w:tc>
          <w:tcPr>
            <w:tcW w:type="dxa" w:w="4680"/>
            <w:tcMar>
              <w:top w:type="dxa" w:w="80"/>
              <w:left w:type="dxa" w:w="110"/>
              <w:bottom w:type="dxa" w:w="80"/>
              <w:right w:type="dxa" w:w="110"/>
            </w:tcMar>
          </w:tcPr>
          <w:p>
            <w:pPr>
              <w:spacing w:after="40" w:line="260"/>
            </w:pPr>
            <w:r>
              <w:rPr>
                <w:rFonts w:ascii="Arial" w:cs="Arial" w:eastAsia="Arial" w:hAnsi="Arial"/>
                <w:sz w:val="18"/>
                <w:szCs w:val="18"/>
              </w:rPr>
              <w:t xml:space="preserve">The score store, with method, version, window and computed timestamp on every row (RE-02)</w:t>
            </w:r>
          </w:p>
        </w:tc>
        <w:tc>
          <w:tcPr>
            <w:tcW w:type="dxa" w:w="4680"/>
            <w:tcMar>
              <w:top w:type="dxa" w:w="80"/>
              <w:left w:type="dxa" w:w="110"/>
              <w:bottom w:type="dxa" w:w="80"/>
              <w:right w:type="dxa" w:w="110"/>
            </w:tcMar>
          </w:tcPr>
          <w:p>
            <w:pPr>
              <w:spacing w:after="40" w:line="260"/>
            </w:pPr>
            <w:r>
              <w:rPr>
                <w:rFonts w:ascii="Arial" w:cs="Arial" w:eastAsia="Arial" w:hAnsi="Arial"/>
                <w:sz w:val="18"/>
                <w:szCs w:val="18"/>
              </w:rPr>
              <w:t xml:space="preserve">The variant layer and traffic split (PT-10). Both methods are computed for every user from stored data, which needs no split.</w:t>
            </w:r>
          </w:p>
        </w:tc>
      </w:tr>
      <w:tr>
        <w:tc>
          <w:tcPr>
            <w:tcW w:type="dxa" w:w="468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Method one, recency decay (RE-03)</w:t>
            </w:r>
          </w:p>
        </w:tc>
        <w:tc>
          <w:tcPr>
            <w:tcW w:type="dxa" w:w="468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scheduled refresh job (RE-06). Run it by hand.</w:t>
            </w:r>
          </w:p>
        </w:tc>
      </w:tr>
      <w:tr>
        <w:tc>
          <w:tcPr>
            <w:tcW w:type="dxa" w:w="4680"/>
            <w:tcMar>
              <w:top w:type="dxa" w:w="80"/>
              <w:left w:type="dxa" w:w="110"/>
              <w:bottom w:type="dxa" w:w="80"/>
              <w:right w:type="dxa" w:w="110"/>
            </w:tcMar>
          </w:tcPr>
          <w:p>
            <w:pPr>
              <w:spacing w:after="40" w:line="260"/>
            </w:pPr>
            <w:r>
              <w:rPr>
                <w:rFonts w:ascii="Arial" w:cs="Arial" w:eastAsia="Arial" w:hAnsi="Arial"/>
                <w:sz w:val="18"/>
                <w:szCs w:val="18"/>
              </w:rPr>
              <w:t xml:space="preserve">Method two, time windows (RE-04)</w:t>
            </w:r>
          </w:p>
        </w:tc>
        <w:tc>
          <w:tcPr>
            <w:tcW w:type="dxa" w:w="4680"/>
            <w:tcMar>
              <w:top w:type="dxa" w:w="80"/>
              <w:left w:type="dxa" w:w="110"/>
              <w:bottom w:type="dxa" w:w="80"/>
              <w:right w:type="dxa" w:w="110"/>
            </w:tcMar>
          </w:tcPr>
          <w:p>
            <w:pPr>
              <w:spacing w:after="40" w:line="260"/>
            </w:pPr>
            <w:r>
              <w:rPr>
                <w:rFonts w:ascii="Arial" w:cs="Arial" w:eastAsia="Arial" w:hAnsi="Arial"/>
                <w:sz w:val="18"/>
                <w:szCs w:val="18"/>
              </w:rPr>
              <w:t xml:space="preserve">The API contract and ingest endpoint (RE-00d). Read from the store directly.</w:t>
            </w:r>
          </w:p>
        </w:tc>
      </w:tr>
      <w:tr>
        <w:tc>
          <w:tcPr>
            <w:tcW w:type="dxa" w:w="468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Rungs 2 and 3 of the fallback ladder (RE-05, part). U07 is rung 2, the declared floor alone. U11 is rung 3, platform wide popularity. Different code behind each. Rungs 4 and 5 are not needed.</w:t>
            </w:r>
          </w:p>
        </w:tc>
        <w:tc>
          <w:tcPr>
            <w:tcW w:type="dxa" w:w="468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
            </w:r>
          </w:p>
        </w:tc>
      </w:tr>
      <w:tr>
        <w:tc>
          <w:tcPr>
            <w:tcW w:type="dxa" w:w="468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A display that shows one user's categories with raw and share, and shows two methods side by side. A terminal table is fine.</w:t>
            </w:r>
          </w:p>
        </w:tc>
        <w:tc>
          <w:tcPr>
            <w:tcW w:type="dxa" w:w="468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
            </w:r>
          </w:p>
        </w:tc>
      </w:tr>
    </w:tbl>
    <w:p>
      <w:pPr>
        <w:spacing w:after="140"/>
      </w:pPr>
    </w:p>
    <w:p>
      <w:pPr>
        <w:spacing w:after="120" w:line="276"/>
      </w:pPr>
      <w:r>
        <w:rPr>
          <w:rFonts w:ascii="Arial" w:cs="Arial" w:eastAsia="Arial" w:hAnsi="Arial"/>
          <w:sz w:val="20"/>
          <w:szCs w:val="20"/>
        </w:rPr>
        <w:t xml:space="preserve">The display can be a script printing a table to the terminal. Do not spend any of the four days making it look like a product. The point is the numbers moving, not the interface.</w:t>
      </w:r>
    </w:p>
    <w:p>
      <w:pPr>
        <w:spacing w:after="120" w:line="276"/>
      </w:pPr>
      <w:r>
        <w:rPr>
          <w:rFonts w:ascii="Arial" w:cs="Arial" w:eastAsia="Arial" w:hAnsi="Arial"/>
          <w:sz w:val="20"/>
          <w:szCs w:val="20"/>
        </w:rPr>
        <w:t xml:space="preserve">Steps 4, 7 and 10 of the running order are comparisons. A display that can only show one method at a time cannot carry them, which is why the side by side requirement is stated rather than assumed.</w:t>
      </w:r>
    </w:p>
    <w:p>
      <w:pPr>
        <w:pStyle w:val="Heading1"/>
        <w:spacing w:after="140" w:before="280"/>
      </w:pPr>
      <w:r>
        <w:rPr>
          <w:rFonts w:ascii="Arial" w:cs="Arial" w:eastAsia="Arial" w:hAnsi="Arial"/>
          <w:b/>
          <w:bCs/>
          <w:color w:val="4B2E63"/>
          <w:sz w:val="26"/>
          <w:szCs w:val="26"/>
        </w:rPr>
        <w:t xml:space="preserve">3. The dataset</w:t>
      </w:r>
    </w:p>
    <w:p>
      <w:pPr>
        <w:spacing w:after="120" w:line="276"/>
      </w:pPr>
      <w:r>
        <w:rPr>
          <w:rFonts w:ascii="Arial" w:cs="Arial" w:eastAsia="Arial" w:hAnsi="Arial"/>
          <w:sz w:val="20"/>
          <w:szCs w:val="20"/>
        </w:rPr>
        <w:t xml:space="preserve">Twenty narrated users, each built to make one point, plus an unnarrated filler population. Small and deliberate beats large and random for the twenty: with random data the interesting cases either do not occur or cannot be found on the day. The filler exists for a different reason, given in section 3.1.</w:t>
      </w:r>
    </w:p>
    <w:p>
      <w:pPr>
        <w:pStyle w:val="Heading2"/>
        <w:spacing w:after="140" w:before="280"/>
      </w:pPr>
      <w:r>
        <w:rPr>
          <w:rFonts w:ascii="Arial" w:cs="Arial" w:eastAsia="Arial" w:hAnsi="Arial"/>
          <w:b/>
          <w:bCs/>
          <w:color w:val="4B2E63"/>
          <w:sz w:val="22"/>
          <w:szCs w:val="22"/>
        </w:rPr>
        <w:t xml:space="preserve">3.1 Rules for the generator</w:t>
      </w:r>
    </w:p>
    <w:p>
      <w:pPr>
        <w:pStyle w:val="ListParagraph"/>
        <w:numPr>
          <w:ilvl w:val="0"/>
          <w:numId w:val="2"/>
        </w:numPr>
        <w:spacing w:after="90" w:line="276"/>
      </w:pPr>
      <w:r>
        <w:rPr>
          <w:rFonts w:ascii="Arial" w:cs="Arial" w:eastAsia="Arial" w:hAnsi="Arial"/>
          <w:sz w:val="20"/>
          <w:szCs w:val="20"/>
        </w:rPr>
        <w:t xml:space="preserve">Write it as a checked-in script, never by hand. When someone asks why a number is what it is, you want to point at the code that produced it.</w:t>
      </w:r>
    </w:p>
    <w:p>
      <w:pPr>
        <w:pStyle w:val="ListParagraph"/>
        <w:numPr>
          <w:ilvl w:val="0"/>
          <w:numId w:val="2"/>
        </w:numPr>
        <w:spacing w:after="90" w:line="276"/>
      </w:pPr>
      <w:r>
        <w:rPr>
          <w:rFonts w:ascii="Arial" w:cs="Arial" w:eastAsia="Arial" w:hAnsi="Arial"/>
          <w:sz w:val="20"/>
          <w:szCs w:val="20"/>
        </w:rPr>
        <w:t xml:space="preserve">Use a fixed random seed, covering the filler population as well. The demo must produce the same numbers every time it runs.</w:t>
      </w:r>
    </w:p>
    <w:p>
      <w:pPr>
        <w:pStyle w:val="ListParagraph"/>
        <w:numPr>
          <w:ilvl w:val="0"/>
          <w:numId w:val="2"/>
        </w:numPr>
        <w:spacing w:after="90" w:line="276"/>
      </w:pPr>
      <w:r>
        <w:rPr>
          <w:rFonts w:ascii="Arial" w:cs="Arial" w:eastAsia="Arial" w:hAnsi="Arial"/>
          <w:sz w:val="20"/>
          <w:szCs w:val="20"/>
        </w:rPr>
        <w:t xml:space="preserve">Events spread over 120 days, so the ninety day boundary in method two is visible.</w:t>
      </w:r>
    </w:p>
    <w:p>
      <w:pPr>
        <w:pStyle w:val="ListParagraph"/>
        <w:numPr>
          <w:ilvl w:val="0"/>
          <w:numId w:val="2"/>
        </w:numPr>
        <w:spacing w:after="90" w:line="276"/>
      </w:pPr>
      <w:r>
        <w:rPr>
          <w:rFonts w:ascii="Arial" w:cs="Arial" w:eastAsia="Arial" w:hAnsi="Arial"/>
          <w:sz w:val="20"/>
          <w:szCs w:val="20"/>
        </w:rPr>
        <w:t xml:space="preserve">Event weights exactly as specified: keyword search 3, product view 2, product click 5, add to cart 10, purchase 20.</w:t>
      </w:r>
    </w:p>
    <w:p>
      <w:pPr>
        <w:pStyle w:val="ListParagraph"/>
        <w:numPr>
          <w:ilvl w:val="0"/>
          <w:numId w:val="2"/>
        </w:numPr>
        <w:spacing w:after="90" w:line="276"/>
      </w:pPr>
      <w:r>
        <w:rPr>
          <w:rFonts w:ascii="Arial" w:cs="Arial" w:eastAsia="Arial" w:hAnsi="Arial"/>
          <w:sz w:val="20"/>
          <w:szCs w:val="20"/>
        </w:rPr>
        <w:t xml:space="preserve">Declared interests are written on the user record, never as events. They carry no timestamp and no weight row. A declared interest emitted as an event would be decayed by method one, which section 4.2 of the specification forbids. This is the easiest thing in this document to get wrong.</w:t>
      </w:r>
    </w:p>
    <w:p>
      <w:pPr>
        <w:pStyle w:val="ListParagraph"/>
        <w:numPr>
          <w:ilvl w:val="0"/>
          <w:numId w:val="2"/>
        </w:numPr>
        <w:spacing w:after="90" w:line="276"/>
      </w:pPr>
      <w:r>
        <w:rPr>
          <w:rFonts w:ascii="Arial" w:cs="Arial" w:eastAsia="Arial" w:hAnsi="Arial"/>
          <w:sz w:val="20"/>
          <w:szCs w:val="20"/>
        </w:rPr>
        <w:t xml:space="preserve">The event row carries seven fields, not five: user_id, event_type, categories as an array, timestamp, weight, view_duration_seconds on view events, and order_id on purchase and reversal rows.</w:t>
      </w:r>
    </w:p>
    <w:p>
      <w:pPr>
        <w:pStyle w:val="ListParagraph"/>
        <w:numPr>
          <w:ilvl w:val="0"/>
          <w:numId w:val="2"/>
        </w:numPr>
        <w:spacing w:after="90" w:line="276"/>
      </w:pPr>
      <w:r>
        <w:rPr>
          <w:rFonts w:ascii="Arial" w:cs="Arial" w:eastAsia="Arial" w:hAnsi="Arial"/>
          <w:sz w:val="20"/>
          <w:szCs w:val="20"/>
        </w:rPr>
        <w:t xml:space="preserve">Categories from the canonical twenty three only, except for U06, U08 and U10, which deliberately carry mappable, unmappable and malformed values. Those three exist to demonstrate resolution and dropping, so the generator must be able to write them.</w:t>
      </w:r>
    </w:p>
    <w:p>
      <w:pPr>
        <w:pStyle w:val="ListParagraph"/>
        <w:numPr>
          <w:ilvl w:val="0"/>
          <w:numId w:val="2"/>
        </w:numPr>
        <w:spacing w:after="90" w:line="276"/>
      </w:pPr>
      <w:r>
        <w:rPr>
          <w:rFonts w:ascii="Arial" w:cs="Arial" w:eastAsia="Arial" w:hAnsi="Arial"/>
          <w:sz w:val="20"/>
          <w:szCs w:val="20"/>
        </w:rPr>
        <w:t xml:space="preserve">Write into the ml_ namespace or a scratch database. Never into an application collection, even for a demo.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after="80"/>
            </w:pPr>
            <w:r>
              <w:rPr>
                <w:rFonts w:ascii="Arial" w:cs="Arial" w:eastAsia="Arial" w:hAnsi="Arial"/>
                <w:b/>
                <w:bCs/>
                <w:sz w:val="19"/>
                <w:szCs w:val="19"/>
              </w:rPr>
              <w:t xml:space="preserve">The filler population, and why twenty is not the number to argue about</w:t>
            </w:r>
          </w:p>
          <w:p>
            <w:pPr>
              <w:spacing w:after="60" w:line="270"/>
            </w:pPr>
            <w:r>
              <w:rPr>
                <w:rFonts w:ascii="Arial" w:cs="Arial" w:eastAsia="Arial" w:hAnsi="Arial"/>
                <w:sz w:val="19"/>
                <w:szCs w:val="19"/>
              </w:rPr>
              <w:t xml:space="preserve">Generate 150 to 200 additional users with plausible random behaviour, prefixed F. They are never narrated, are excluded from every check in section 3.3, and never enter the conformance replay set.</w:t>
            </w:r>
          </w:p>
          <w:p>
            <w:pPr>
              <w:spacing w:after="60" w:line="270"/>
            </w:pPr>
            <w:r>
              <w:rPr>
                <w:rFonts w:ascii="Arial" w:cs="Arial" w:eastAsia="Arial" w:hAnsi="Arial"/>
                <w:sz w:val="19"/>
                <w:szCs w:val="19"/>
              </w:rPr>
              <w:t xml:space="preserve">They exist for two reasons. Platform wide category popularity, which is what U11 is served, is meaningless computed over twenty deliberately skewed profiles and sensible computed over two hundred. And a dataset of twenty reads as thin to anyone who has not been told what it is for.</w:t>
            </w:r>
          </w:p>
          <w:p>
            <w:pPr>
              <w:spacing w:after="60" w:line="270"/>
            </w:pPr>
            <w:r>
              <w:rPr>
                <w:rFonts w:ascii="Arial" w:cs="Arial" w:eastAsia="Arial" w:hAnsi="Arial"/>
                <w:sz w:val="19"/>
                <w:szCs w:val="19"/>
              </w:rPr>
              <w:t xml:space="preserve">The twenty are a coverage claim, not a scale claim. The filler removes the distraction without diluting the coverage. It is roughly twenty lines of the same generator.</w:t>
            </w:r>
          </w:p>
        </w:tc>
      </w:tr>
    </w:tbl>
    <w:p>
      <w:pPr>
        <w:pStyle w:val="Heading2"/>
        <w:spacing w:after="140" w:before="280"/>
      </w:pPr>
      <w:r>
        <w:rPr>
          <w:rFonts w:ascii="Arial" w:cs="Arial" w:eastAsia="Arial" w:hAnsi="Arial"/>
          <w:b/>
          <w:bCs/>
          <w:color w:val="4B2E63"/>
          <w:sz w:val="22"/>
          <w:szCs w:val="22"/>
        </w:rPr>
        <w:t xml:space="preserve">3.2 The twenty users</w:t>
      </w:r>
    </w:p>
    <w:p>
      <w:pPr>
        <w:spacing w:after="120" w:line="276"/>
      </w:pPr>
      <w:r>
        <w:rPr>
          <w:rFonts w:ascii="Arial" w:cs="Arial" w:eastAsia="Arial" w:hAnsi="Arial"/>
          <w:sz w:val="20"/>
          <w:szCs w:val="20"/>
        </w:rPr>
        <w:t xml:space="preserve">Green rows are new definitions in version 2, occupying slots that previously held a duplicate. Amber rows are retained users whose definition is corrected. Identifiers are unchanged from version 1 on purpose: DS-015 and the running order refer to users by number, and a renumbering buys tidiness at the cost of a class of error. The numbering is therefore no longer grouped by theme.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300"/>
        <w:gridCol w:w="800"/>
        <w:gridCol w:w="860"/>
      </w:tblGrid>
      <w:tr>
        <w:trPr>
          <w:tblHeader/>
        </w:trPr>
        <w:tc>
          <w:tcPr>
            <w:tcW w:type="dxa" w:w="9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User</w:t>
            </w:r>
          </w:p>
        </w:tc>
        <w:tc>
          <w:tcPr>
            <w:tcW w:type="dxa" w:w="35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Constructed as</w:t>
            </w:r>
          </w:p>
        </w:tc>
        <w:tc>
          <w:tcPr>
            <w:tcW w:type="dxa" w:w="33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What it demonstrates</w:t>
            </w:r>
          </w:p>
        </w:tc>
        <w:tc>
          <w:tcPr>
            <w:tcW w:type="dxa" w:w="8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DS-008</w:t>
            </w:r>
          </w:p>
        </w:tc>
        <w:tc>
          <w:tcPr>
            <w:tcW w:type="dxa" w:w="8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Conformance set</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U01</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One dominant category. Thirty to fifty events, all recent, mostly Fashion &amp; Apparel with a scattering elsewhere. Two declared interests, one of them the dominant category.</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basic case. A clear profile with a high share in one category, showing the declared floor and the decayed events in one table.</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2, 4.1, 4.2</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U02</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Twenty product views in one category. Twelve under three seconds, eight over.</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qualified view threshold. Eight views contribute, twelve contribute nothing, and a counter says so.</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3.1, P-02</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U03</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Twenty engagements. Ten on posts tagged with two categories each, ten on single category posts.</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A post carrying several categories contributes full weight to each, not a divided share.</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3.2, 8</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U04</w:t>
            </w:r>
          </w:p>
        </w:tc>
        <w:tc>
          <w:tcPr>
            <w:tcW w:type="dxa" w:w="3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Interest shifted. Heavy Electronics ninety to one hundred and twenty days ago, then heavy Home &amp; Living in the last two weeks.</w:t>
            </w:r>
          </w:p>
        </w:tc>
        <w:tc>
          <w:tcPr>
            <w:tcW w:type="dxa" w:w="33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whole argument for decay. The old interest visibly fading and the new one dominant.</w:t>
            </w:r>
          </w:p>
        </w:tc>
        <w:tc>
          <w:tcPr>
            <w:tcW w:type="dxa" w:w="8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4.1, 6</w:t>
            </w:r>
          </w:p>
        </w:tc>
        <w:tc>
          <w:tcPr>
            <w:tcW w:type="dxa" w:w="8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U05</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Three declared interests, plus twenty five behavioural events in a fourth category, all aged ninety to one hundred and twenty days.</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declared floor holds while behaviour fades. Three categories with no activity outrank one with twenty five events.</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4.2</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U06</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Twenty events carrying List 1 category names, including two that collapse into Home &amp; Living, and both Fashion and fashion as separate keys.</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Mapping to the canonical list, the merge, and case variants resolving to one key.</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8, 11</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U07</w:t>
            </w:r>
          </w:p>
        </w:tc>
        <w:tc>
          <w:tcPr>
            <w:tcW w:type="dxa" w:w="3500"/>
            <w:tcMar>
              <w:top w:type="dxa" w:w="80"/>
              <w:left w:type="dxa" w:w="110"/>
              <w:bottom w:type="dxa" w:w="80"/>
              <w:right w:type="dxa" w:w="110"/>
            </w:tcMar>
          </w:tcPr>
          <w:p>
            <w:pPr>
              <w:spacing w:after="40" w:line="260"/>
            </w:pPr>
            <w:r>
              <w:rPr>
                <w:rFonts w:ascii="Arial" w:cs="Arial" w:eastAsia="Arial" w:hAnsi="Arial"/>
                <w:sz w:val="18"/>
                <w:szCs w:val="18"/>
              </w:rPr>
              <w:t xml:space="preserve">Six declared interests at signup, zero behavioural events.</w:t>
            </w:r>
          </w:p>
        </w:tc>
        <w:tc>
          <w:tcPr>
            <w:tcW w:type="dxa" w:w="3300"/>
            <w:tcMar>
              <w:top w:type="dxa" w:w="80"/>
              <w:left w:type="dxa" w:w="110"/>
              <w:bottom w:type="dxa" w:w="80"/>
              <w:right w:type="dxa" w:w="110"/>
            </w:tcMar>
          </w:tcPr>
          <w:p>
            <w:pPr>
              <w:spacing w:after="40" w:line="260"/>
            </w:pPr>
            <w:r>
              <w:rPr>
                <w:rFonts w:ascii="Arial" w:cs="Arial" w:eastAsia="Arial" w:hAnsi="Arial"/>
                <w:sz w:val="18"/>
                <w:szCs w:val="18"/>
              </w:rPr>
              <w:t xml:space="preserve">Cold start, rung 2 of the ladder. Most users at launch look like this, so it is the case that matters most.</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4.2, 7</w:t>
            </w:r>
          </w:p>
        </w:tc>
        <w:tc>
          <w:tcPr>
            <w:tcW w:type="dxa" w:w="860"/>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U08</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Fifteen product events, six of them carrying a seller category with no mapping to the canonical list.</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Unmapped categories dropped and counted. A live launch condition rather than a hypothetical.</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3.2, 8, 11</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U09</w:t>
            </w:r>
          </w:p>
        </w:tc>
        <w:tc>
          <w:tcPr>
            <w:tcW w:type="dxa" w:w="3500"/>
            <w:tcMar>
              <w:top w:type="dxa" w:w="80"/>
              <w:left w:type="dxa" w:w="110"/>
              <w:bottom w:type="dxa" w:w="80"/>
              <w:right w:type="dxa" w:w="110"/>
            </w:tcMar>
          </w:tcPr>
          <w:p>
            <w:pPr>
              <w:spacing w:after="40" w:line="260"/>
            </w:pPr>
            <w:r>
              <w:rPr>
                <w:rFonts w:ascii="Arial" w:cs="Arial" w:eastAsia="Arial" w:hAnsi="Arial"/>
                <w:sz w:val="18"/>
                <w:szCs w:val="18"/>
              </w:rPr>
              <w:t xml:space="preserve">No declared interests, forty behavioural events.</w:t>
            </w:r>
          </w:p>
        </w:tc>
        <w:tc>
          <w:tcPr>
            <w:tcW w:type="dxa" w:w="3300"/>
            <w:tcMar>
              <w:top w:type="dxa" w:w="80"/>
              <w:left w:type="dxa" w:w="110"/>
              <w:bottom w:type="dxa" w:w="80"/>
              <w:right w:type="dxa" w:w="110"/>
            </w:tcMar>
          </w:tcPr>
          <w:p>
            <w:pPr>
              <w:spacing w:after="40" w:line="260"/>
            </w:pPr>
            <w:r>
              <w:rPr>
                <w:rFonts w:ascii="Arial" w:cs="Arial" w:eastAsia="Arial" w:hAnsi="Arial"/>
                <w:sz w:val="18"/>
                <w:szCs w:val="18"/>
              </w:rPr>
              <w:t xml:space="preserve">A profile built entirely from behaviour, with no floor beneath it.</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4.1, 4.3</w:t>
            </w:r>
          </w:p>
        </w:tc>
        <w:tc>
          <w:tcPr>
            <w:tcW w:type="dxa" w:w="860"/>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U10</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Twenty events, three of them dated in the future and two with the timestamp field absent.</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Future and missing timestamps dropped and counted. A future timestamp produces a decay factor above one and inflates the score.</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8</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U11</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Nothing at all. Account created, no interests, no events.</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bottom of the ladder, rung 3. Popularity computed over the demonstration collection, not over postevents, which holds twenty six documents.</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4.3, 7</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U12, U13</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Same category mix, one with two hundred events and one with twenty. Both carry zero declared interests.</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Why the share matters and the raw score does not. Similar shares from very different raw numbers.</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2</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U14</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Two bursts of forty events over two days each, centred at day twenty eight and day thirty two. Neither burst straddles a window boundary.</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Where the two methods disagree most. A third apart under windows, under ten percent apart under decay.</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9</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U15</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Twelve events placed deliberately: six in the recent window, four in the medium, two in the long.</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windows are disjoint. A nested implementation triple counts the recent six and fails against the hand calculation.</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5.2</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U16, U17</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A purchase placed twelve days ago. U17's order cancelled five days ago, carried as a separate negative row rather than a deleted purchase.</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purchase reversal, aged from the original order. The two profiles differ by exactly the purchase, and neither raw score goes negative.</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3.3, 8</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U16 yes</w:t>
            </w:r>
          </w:p>
          <w:p>
            <w:pPr>
              <w:spacing w:after="40" w:line="260"/>
            </w:pPr>
            <w:r>
              <w:rPr>
                <w:rFonts w:ascii="Arial" w:cs="Arial" w:eastAsia="Arial" w:hAnsi="Arial"/>
                <w:sz w:val="18"/>
                <w:szCs w:val="18"/>
              </w:rPr>
              <w:t xml:space="preserve">U17 no</w:t>
            </w:r>
          </w:p>
        </w:tc>
      </w:tr>
      <w:tr>
        <w:tc>
          <w:tcPr>
            <w:tcW w:type="dxa" w:w="9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U18</w:t>
            </w:r>
          </w:p>
        </w:tc>
        <w:tc>
          <w:tcPr>
            <w:tcW w:type="dxa" w:w="35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Events at eighty nine, ninety and ninety one days old.</w:t>
            </w:r>
          </w:p>
        </w:tc>
        <w:tc>
          <w:tcPr>
            <w:tcW w:type="dxa" w:w="33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window cliff. The ninety one day event counts for nothing under method two and still counts under decay.</w:t>
            </w:r>
          </w:p>
        </w:tc>
        <w:tc>
          <w:tcPr>
            <w:tcW w:type="dxa" w:w="80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5.2, 9</w:t>
            </w:r>
          </w:p>
        </w:tc>
        <w:tc>
          <w:tcPr>
            <w:tcW w:type="dxa" w:w="860"/>
            <w:shd w:fill="FFF2CC"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U19</w:t>
            </w:r>
          </w:p>
        </w:tc>
        <w:tc>
          <w:tcPr>
            <w:tcW w:type="dxa" w:w="3500"/>
            <w:tcMar>
              <w:top w:type="dxa" w:w="80"/>
              <w:left w:type="dxa" w:w="110"/>
              <w:bottom w:type="dxa" w:w="80"/>
              <w:right w:type="dxa" w:w="110"/>
            </w:tcMar>
          </w:tcPr>
          <w:p>
            <w:pPr>
              <w:spacing w:after="40" w:line="260"/>
            </w:pPr>
            <w:r>
              <w:rPr>
                <w:rFonts w:ascii="Arial" w:cs="Arial" w:eastAsia="Arial" w:hAnsi="Arial"/>
                <w:sz w:val="18"/>
                <w:szCs w:val="18"/>
              </w:rPr>
              <w:t xml:space="preserve">Broad browser. Events spread evenly across eight categories.</w:t>
            </w:r>
          </w:p>
        </w:tc>
        <w:tc>
          <w:tcPr>
            <w:tcW w:type="dxa" w:w="3300"/>
            <w:tcMar>
              <w:top w:type="dxa" w:w="80"/>
              <w:left w:type="dxa" w:w="110"/>
              <w:bottom w:type="dxa" w:w="80"/>
              <w:right w:type="dxa" w:w="110"/>
            </w:tcMar>
          </w:tcPr>
          <w:p>
            <w:pPr>
              <w:spacing w:after="40" w:line="260"/>
            </w:pPr>
            <w:r>
              <w:rPr>
                <w:rFonts w:ascii="Arial" w:cs="Arial" w:eastAsia="Arial" w:hAnsi="Arial"/>
                <w:sz w:val="18"/>
                <w:szCs w:val="18"/>
              </w:rPr>
              <w:t xml:space="preserve">A profile with no dominant interest, which is a valid outcome rather than a failure.</w:t>
            </w:r>
          </w:p>
        </w:tc>
        <w:tc>
          <w:tcPr>
            <w:tcW w:type="dxa" w:w="800"/>
            <w:tcMar>
              <w:top w:type="dxa" w:w="80"/>
              <w:left w:type="dxa" w:w="110"/>
              <w:bottom w:type="dxa" w:w="80"/>
              <w:right w:type="dxa" w:w="110"/>
            </w:tcMar>
          </w:tcPr>
          <w:p>
            <w:pPr>
              <w:spacing w:after="40" w:line="260"/>
            </w:pPr>
            <w:r>
              <w:rPr>
                <w:rFonts w:ascii="Arial" w:cs="Arial" w:eastAsia="Arial" w:hAnsi="Arial"/>
                <w:sz w:val="18"/>
                <w:szCs w:val="18"/>
              </w:rPr>
              <w:t xml:space="preserve">8</w:t>
            </w:r>
          </w:p>
        </w:tc>
        <w:tc>
          <w:tcPr>
            <w:tcW w:type="dxa" w:w="860"/>
            <w:tcMar>
              <w:top w:type="dxa" w:w="80"/>
              <w:left w:type="dxa" w:w="110"/>
              <w:bottom w:type="dxa" w:w="80"/>
              <w:right w:type="dxa" w:w="110"/>
            </w:tcMar>
          </w:tcPr>
          <w:p>
            <w:pPr>
              <w:spacing w:after="40" w:line="260"/>
            </w:pPr>
            <w:r>
              <w:rPr>
                <w:rFonts w:ascii="Arial" w:cs="Arial" w:eastAsia="Arial" w:hAnsi="Arial"/>
                <w:sz w:val="18"/>
                <w:szCs w:val="18"/>
              </w:rPr>
              <w:t xml:space="preserve">Yes</w:t>
            </w:r>
          </w:p>
        </w:tc>
      </w:tr>
      <w:tr>
        <w:tc>
          <w:tcPr>
            <w:tcW w:type="dxa" w:w="9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U20</w:t>
            </w:r>
          </w:p>
        </w:tc>
        <w:tc>
          <w:tcPr>
            <w:tcW w:type="dxa" w:w="35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declared floor plus all five event types at known ages in one category, hand calculable on paper.</w:t>
            </w:r>
          </w:p>
        </w:tc>
        <w:tc>
          <w:tcPr>
            <w:tcW w:type="dxa" w:w="33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conformance replay, and the check that the incremental path and a full recomputation from history agree.</w:t>
            </w:r>
          </w:p>
        </w:tc>
        <w:tc>
          <w:tcPr>
            <w:tcW w:type="dxa" w:w="80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4.4, 6</w:t>
            </w:r>
          </w:p>
        </w:tc>
        <w:tc>
          <w:tcPr>
            <w:tcW w:type="dxa" w:w="860"/>
            <w:shd w:fill="E2EFDA" w:color="auto" w:val="clear"/>
            <w:tcMar>
              <w:top w:type="dxa" w:w="80"/>
              <w:left w:type="dxa" w:w="110"/>
              <w:bottom w:type="dxa" w:w="80"/>
              <w:right w:type="dxa" w:w="110"/>
            </w:tcMar>
          </w:tcPr>
          <w:p>
            <w:pPr>
              <w:spacing w:after="40" w:line="260"/>
            </w:pPr>
            <w:r>
              <w:rPr>
                <w:rFonts w:ascii="Arial" w:cs="Arial" w:eastAsia="Arial" w:hAnsi="Arial"/>
                <w:sz w:val="18"/>
                <w:szCs w:val="18"/>
              </w:rPr>
              <w:t xml:space="preserve">Yes</w:t>
            </w:r>
          </w:p>
        </w:tc>
      </w:tr>
    </w:tbl>
    <w:p>
      <w:pPr>
        <w:spacing w:after="140"/>
      </w:pPr>
    </w:p>
    <w:p>
      <w:pPr>
        <w:spacing w:after="120" w:line="276"/>
      </w:pPr>
      <w:r>
        <w:rPr>
          <w:rFonts w:ascii="Arial" w:cs="Arial" w:eastAsia="Arial" w:hAnsi="Arial"/>
          <w:sz w:val="20"/>
          <w:szCs w:val="20"/>
        </w:rPr>
        <w:t xml:space="preserve">The conformance column matters more than it looks. Section 6.1 of DS-008 v3 restricts the replay set to events on which the delivered engine and Method A are specified to agree. U02, U03, U06, U08, U10, U11, U15 and U17 exercise rules the delivered engine does not have, so including them in the replay would fail the equality test by construction and would look like a defect on the day. U17 is the one to watch: disabling decay does not disable the reversal, and the delivered engine credits a purchase and never removes it, so U16 belongs in the replay and U17 does not.</w:t>
      </w:r>
    </w:p>
    <w:p>
      <w:pPr>
        <w:pStyle w:val="Heading2"/>
        <w:spacing w:after="140" w:before="280"/>
      </w:pPr>
      <w:r>
        <w:rPr>
          <w:rFonts w:ascii="Arial" w:cs="Arial" w:eastAsia="Arial" w:hAnsi="Arial"/>
          <w:b/>
          <w:bCs/>
          <w:color w:val="4B2E63"/>
          <w:sz w:val="22"/>
          <w:szCs w:val="22"/>
        </w:rPr>
        <w:t xml:space="preserve">3.3 Check the data before you trust it</w:t>
      </w:r>
    </w:p>
    <w:p>
      <w:pPr>
        <w:spacing w:after="120" w:line="276"/>
      </w:pPr>
      <w:r>
        <w:rPr>
          <w:rFonts w:ascii="Arial" w:cs="Arial" w:eastAsia="Arial" w:hAnsi="Arial"/>
          <w:sz w:val="20"/>
          <w:szCs w:val="20"/>
        </w:rPr>
        <w:t xml:space="preserve">Half an hour here saves the demo. Seven checks. Two of the four in version 1 could not pass against this dataset and are rewritten rather than dropped.</w:t>
      </w:r>
    </w:p>
    <w:p>
      <w:pPr>
        <w:spacing w:after="60" w:before="60"/>
        <w:ind w:left="340"/>
      </w:pPr>
      <w:r>
        <w:rPr>
          <w:rFonts w:ascii="Consolas" w:cs="Consolas" w:eastAsia="Consolas" w:hAnsi="Consolas"/>
          <w:sz w:val="18"/>
          <w:szCs w:val="18"/>
        </w:rPr>
        <w:t xml:space="preserve">1  every event resolves to a canonical category, except U06 mapped, U08 six dropped, U10 malformed</w:t>
      </w:r>
    </w:p>
    <w:p>
      <w:pPr>
        <w:spacing w:after="60" w:before="60"/>
        <w:ind w:left="340"/>
      </w:pPr>
      <w:r>
        <w:rPr>
          <w:rFonts w:ascii="Consolas" w:cs="Consolas" w:eastAsia="Consolas" w:hAnsi="Consolas"/>
          <w:sz w:val="18"/>
          <w:szCs w:val="18"/>
        </w:rPr>
        <w:t xml:space="preserve">2  every event carries a valid timestamp and none is in the future, except U10's five deliberate rows</w:t>
      </w:r>
    </w:p>
    <w:p>
      <w:pPr>
        <w:spacing w:after="60" w:before="60"/>
        <w:ind w:left="340"/>
      </w:pPr>
      <w:r>
        <w:rPr>
          <w:rFonts w:ascii="Consolas" w:cs="Consolas" w:eastAsia="Consolas" w:hAnsi="Consolas"/>
          <w:sz w:val="18"/>
          <w:szCs w:val="18"/>
        </w:rPr>
        <w:t xml:space="preserve">3  U04 has at least 60 days between the old and the new activity</w:t>
      </w:r>
    </w:p>
    <w:p>
      <w:pPr>
        <w:spacing w:after="60" w:before="60"/>
        <w:ind w:left="340"/>
      </w:pPr>
      <w:r>
        <w:rPr>
          <w:rFonts w:ascii="Consolas" w:cs="Consolas" w:eastAsia="Consolas" w:hAnsi="Consolas"/>
          <w:sz w:val="18"/>
          <w:szCs w:val="18"/>
        </w:rPr>
        <w:t xml:space="preserve">4  U12 and U13 shares agree within a few percent despite the 10x event difference</w:t>
      </w:r>
    </w:p>
    <w:p>
      <w:pPr>
        <w:spacing w:after="60" w:before="60"/>
        <w:ind w:left="340"/>
      </w:pPr>
      <w:r>
        <w:rPr>
          <w:rFonts w:ascii="Consolas" w:cs="Consolas" w:eastAsia="Consolas" w:hAnsi="Consolas"/>
          <w:sz w:val="18"/>
          <w:szCs w:val="18"/>
        </w:rPr>
        <w:t xml:space="preserve">5  U02's raw score reflects eight views, not twenty</w:t>
      </w:r>
    </w:p>
    <w:p>
      <w:pPr>
        <w:spacing w:after="60" w:before="60"/>
        <w:ind w:left="340"/>
      </w:pPr>
      <w:r>
        <w:rPr>
          <w:rFonts w:ascii="Consolas" w:cs="Consolas" w:eastAsia="Consolas" w:hAnsi="Consolas"/>
          <w:sz w:val="18"/>
          <w:szCs w:val="18"/>
        </w:rPr>
        <w:t xml:space="preserve">6  U03's two tagged categories carry equal raw, each the full weight rather than half</w:t>
      </w:r>
    </w:p>
    <w:p>
      <w:pPr>
        <w:spacing w:after="60" w:before="60"/>
        <w:ind w:left="340"/>
      </w:pPr>
      <w:r>
        <w:rPr>
          <w:rFonts w:ascii="Consolas" w:cs="Consolas" w:eastAsia="Consolas" w:hAnsi="Consolas"/>
          <w:sz w:val="18"/>
          <w:szCs w:val="18"/>
        </w:rPr>
        <w:t xml:space="preserve">7  U16 and U17 differ by exactly the purchase contribution, and no category raw is negative</w:t>
      </w:r>
    </w:p>
    <w:p>
      <w:pPr>
        <w:spacing w:after="120"/>
      </w:pPr>
    </w:p>
    <w:p>
      <w:pPr>
        <w:spacing w:after="120" w:line="276"/>
      </w:pPr>
      <w:r>
        <w:rPr>
          <w:rFonts w:ascii="Arial" w:cs="Arial" w:eastAsia="Arial" w:hAnsi="Arial"/>
          <w:sz w:val="20"/>
          <w:szCs w:val="20"/>
        </w:rPr>
        <w:t xml:space="preserve">Check 7 is the one that catches the reversal defect corrected in DS-008 v3. If it fails, the reversal is still being aged from the cancellation rather than from the original order, and U17 will show a category lower than a user who never purchased at all.</w:t>
      </w:r>
    </w:p>
    <w:p>
      <w:pPr>
        <w:spacing w:after="120" w:line="276"/>
      </w:pPr>
      <w:r>
        <w:rPr>
          <w:rFonts w:ascii="Arial" w:cs="Arial" w:eastAsia="Arial" w:hAnsi="Arial"/>
          <w:sz w:val="20"/>
          <w:szCs w:val="20"/>
        </w:rPr>
        <w:t xml:space="preserve">Check 4 is only valid because U12 and U13 now carry zero declared interests. The floor is a constant ten per declared category and does not decay, so it is a far larger fraction of a twenty event profile than of a two hundred event one. With one declared category the shares diverge by about four percentage points, which is enough to fail the check and to undermine step 3.</w:t>
      </w:r>
    </w:p>
    <w:p>
      <w:pPr>
        <w:pStyle w:val="Heading1"/>
        <w:spacing w:after="140" w:before="280"/>
      </w:pPr>
      <w:r>
        <w:rPr>
          <w:rFonts w:ascii="Arial" w:cs="Arial" w:eastAsia="Arial" w:hAnsi="Arial"/>
          <w:b/>
          <w:bCs/>
          <w:color w:val="4B2E63"/>
          <w:sz w:val="26"/>
          <w:szCs w:val="26"/>
        </w:rPr>
        <w:t xml:space="preserve">4. Running order</w:t>
      </w:r>
    </w:p>
    <w:p>
      <w:pPr>
        <w:spacing w:after="120" w:line="276"/>
      </w:pPr>
      <w:r>
        <w:rPr>
          <w:rFonts w:ascii="Arial" w:cs="Arial" w:eastAsia="Arial" w:hAnsi="Arial"/>
          <w:sz w:val="20"/>
          <w:szCs w:val="20"/>
        </w:rPr>
        <w:t xml:space="preserve">Seventeen minutes against a fifteen minute slot. Each step proves one thing and then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400"/>
        <w:gridCol w:w="960"/>
      </w:tblGrid>
      <w:tr>
        <w:trPr>
          <w:tblHeader/>
        </w:trPr>
        <w:tc>
          <w:tcPr>
            <w:tcW w:type="dxa" w:w="5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w:t>
            </w:r>
          </w:p>
        </w:tc>
        <w:tc>
          <w:tcPr>
            <w:tcW w:type="dxa" w:w="25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Show</w:t>
            </w:r>
          </w:p>
        </w:tc>
        <w:tc>
          <w:tcPr>
            <w:tcW w:type="dxa" w:w="54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Say</w:t>
            </w:r>
          </w:p>
        </w:tc>
        <w:tc>
          <w:tcPr>
            <w:tcW w:type="dxa" w:w="9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Min</w:t>
            </w:r>
          </w:p>
        </w:tc>
      </w:tr>
      <w:tr>
        <w:tc>
          <w:tcPr>
            <w:tcW w:type="dxa" w:w="500"/>
            <w:tcMar>
              <w:top w:type="dxa" w:w="80"/>
              <w:left w:type="dxa" w:w="110"/>
              <w:bottom w:type="dxa" w:w="80"/>
              <w:right w:type="dxa" w:w="110"/>
            </w:tcMar>
          </w:tcPr>
          <w:p>
            <w:pPr>
              <w:spacing w:after="40" w:line="260"/>
            </w:pPr>
            <w:r>
              <w:rPr>
                <w:rFonts w:ascii="Arial" w:cs="Arial" w:eastAsia="Arial" w:hAnsi="Arial"/>
                <w:sz w:val="18"/>
                <w:szCs w:val="18"/>
              </w:rPr>
              <w:t xml:space="preserve">1</w:t>
            </w:r>
          </w:p>
        </w:tc>
        <w:tc>
          <w:tcPr>
            <w:tcW w:type="dxa" w:w="2500"/>
            <w:tcMar>
              <w:top w:type="dxa" w:w="80"/>
              <w:left w:type="dxa" w:w="110"/>
              <w:bottom w:type="dxa" w:w="80"/>
              <w:right w:type="dxa" w:w="110"/>
            </w:tcMar>
          </w:tcPr>
          <w:p>
            <w:pPr>
              <w:spacing w:after="40" w:line="260"/>
            </w:pPr>
            <w:r>
              <w:rPr>
                <w:rFonts w:ascii="Arial" w:cs="Arial" w:eastAsia="Arial" w:hAnsi="Arial"/>
                <w:sz w:val="18"/>
                <w:szCs w:val="18"/>
              </w:rPr>
              <w:t xml:space="preserve">The opening statement in section 1.</w:t>
            </w:r>
          </w:p>
        </w:tc>
        <w:tc>
          <w:tcPr>
            <w:tcW w:type="dxa" w:w="5400"/>
            <w:tcMar>
              <w:top w:type="dxa" w:w="80"/>
              <w:left w:type="dxa" w:w="110"/>
              <w:bottom w:type="dxa" w:w="80"/>
              <w:right w:type="dxa" w:w="110"/>
            </w:tcMar>
          </w:tcPr>
          <w:p>
            <w:pPr>
              <w:spacing w:after="40" w:line="260"/>
            </w:pPr>
            <w:r>
              <w:rPr>
                <w:rFonts w:ascii="Arial" w:cs="Arial" w:eastAsia="Arial" w:hAnsi="Arial"/>
                <w:sz w:val="18"/>
                <w:szCs w:val="18"/>
              </w:rPr>
              <w:t xml:space="preserve">Constructed data, mechanism not quality, and why.</w:t>
            </w:r>
          </w:p>
        </w:tc>
        <w:tc>
          <w:tcPr>
            <w:tcW w:type="dxa" w:w="960"/>
            <w:tcMar>
              <w:top w:type="dxa" w:w="80"/>
              <w:left w:type="dxa" w:w="110"/>
              <w:bottom w:type="dxa" w:w="80"/>
              <w:right w:type="dxa" w:w="110"/>
            </w:tcMar>
          </w:tcPr>
          <w:p>
            <w:pPr>
              <w:spacing w:after="40" w:line="260"/>
            </w:pPr>
            <w:r>
              <w:rPr>
                <w:rFonts w:ascii="Arial" w:cs="Arial" w:eastAsia="Arial" w:hAnsi="Arial"/>
                <w:sz w:val="18"/>
                <w:szCs w:val="18"/>
              </w:rPr>
              <w:t xml:space="preserve">1</w:t>
            </w:r>
          </w:p>
        </w:tc>
      </w:tr>
      <w:tr>
        <w:tc>
          <w:tcPr>
            <w:tcW w:type="dxa" w:w="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2</w:t>
            </w:r>
          </w:p>
        </w:tc>
        <w:tc>
          <w:tcPr>
            <w:tcW w:type="dxa" w:w="2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U01's profile. The category list with raw score and share.</w:t>
            </w:r>
          </w:p>
        </w:tc>
        <w:tc>
          <w:tcPr>
            <w:tcW w:type="dxa" w:w="54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This is what the model produces: one score per category, and the share is what the engine reads because it makes a heavy user and a light user comparable.</w:t>
            </w:r>
          </w:p>
        </w:tc>
        <w:tc>
          <w:tcPr>
            <w:tcW w:type="dxa" w:w="9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2</w:t>
            </w:r>
          </w:p>
        </w:tc>
      </w:tr>
      <w:tr>
        <w:tc>
          <w:tcPr>
            <w:tcW w:type="dxa" w:w="500"/>
            <w:tcMar>
              <w:top w:type="dxa" w:w="80"/>
              <w:left w:type="dxa" w:w="110"/>
              <w:bottom w:type="dxa" w:w="80"/>
              <w:right w:type="dxa" w:w="110"/>
            </w:tcMar>
          </w:tcPr>
          <w:p>
            <w:pPr>
              <w:spacing w:after="40" w:line="260"/>
            </w:pPr>
            <w:r>
              <w:rPr>
                <w:rFonts w:ascii="Arial" w:cs="Arial" w:eastAsia="Arial" w:hAnsi="Arial"/>
                <w:sz w:val="18"/>
                <w:szCs w:val="18"/>
              </w:rPr>
              <w:t xml:space="preserve">3</w:t>
            </w:r>
          </w:p>
        </w:tc>
        <w:tc>
          <w:tcPr>
            <w:tcW w:type="dxa" w:w="2500"/>
            <w:tcMar>
              <w:top w:type="dxa" w:w="80"/>
              <w:left w:type="dxa" w:w="110"/>
              <w:bottom w:type="dxa" w:w="80"/>
              <w:right w:type="dxa" w:w="110"/>
            </w:tcMar>
          </w:tcPr>
          <w:p>
            <w:pPr>
              <w:spacing w:after="40" w:line="260"/>
            </w:pPr>
            <w:r>
              <w:rPr>
                <w:rFonts w:ascii="Arial" w:cs="Arial" w:eastAsia="Arial" w:hAnsi="Arial"/>
                <w:sz w:val="18"/>
                <w:szCs w:val="18"/>
              </w:rPr>
              <w:t xml:space="preserve">U12 next to U13.</w:t>
            </w:r>
          </w:p>
        </w:tc>
        <w:tc>
          <w:tcPr>
            <w:tcW w:type="dxa" w:w="5400"/>
            <w:tcMar>
              <w:top w:type="dxa" w:w="80"/>
              <w:left w:type="dxa" w:w="110"/>
              <w:bottom w:type="dxa" w:w="80"/>
              <w:right w:type="dxa" w:w="110"/>
            </w:tcMar>
          </w:tcPr>
          <w:p>
            <w:pPr>
              <w:spacing w:after="40" w:line="260"/>
            </w:pPr>
            <w:r>
              <w:rPr>
                <w:rFonts w:ascii="Arial" w:cs="Arial" w:eastAsia="Arial" w:hAnsi="Arial"/>
                <w:sz w:val="18"/>
                <w:szCs w:val="18"/>
              </w:rPr>
              <w:t xml:space="preserve">Ten times the activity, near identical shares. This is why the share exists.</w:t>
            </w:r>
          </w:p>
        </w:tc>
        <w:tc>
          <w:tcPr>
            <w:tcW w:type="dxa" w:w="960"/>
            <w:tcMar>
              <w:top w:type="dxa" w:w="80"/>
              <w:left w:type="dxa" w:w="110"/>
              <w:bottom w:type="dxa" w:w="80"/>
              <w:right w:type="dxa" w:w="110"/>
            </w:tcMar>
          </w:tcPr>
          <w:p>
            <w:pPr>
              <w:spacing w:after="40" w:line="260"/>
            </w:pPr>
            <w:r>
              <w:rPr>
                <w:rFonts w:ascii="Arial" w:cs="Arial" w:eastAsia="Arial" w:hAnsi="Arial"/>
                <w:sz w:val="18"/>
                <w:szCs w:val="18"/>
              </w:rPr>
              <w:t xml:space="preserve">1</w:t>
            </w:r>
          </w:p>
        </w:tc>
      </w:tr>
      <w:tr>
        <w:tc>
          <w:tcPr>
            <w:tcW w:type="dxa" w:w="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4</w:t>
            </w:r>
          </w:p>
        </w:tc>
        <w:tc>
          <w:tcPr>
            <w:tcW w:type="dxa" w:w="2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U04's profile, then the same user with decay switched off.</w:t>
            </w:r>
          </w:p>
        </w:tc>
        <w:tc>
          <w:tcPr>
            <w:tcW w:type="dxa" w:w="54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With decay, the recent Home &amp; Living interest dominates. Without it, the three month old Electronics activity still outranks everything. This is the whole difference between the new score and the delivered one.</w:t>
            </w:r>
          </w:p>
        </w:tc>
        <w:tc>
          <w:tcPr>
            <w:tcW w:type="dxa" w:w="9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3</w:t>
            </w:r>
          </w:p>
        </w:tc>
      </w:tr>
      <w:tr>
        <w:tc>
          <w:tcPr>
            <w:tcW w:type="dxa" w:w="500"/>
            <w:tcMar>
              <w:top w:type="dxa" w:w="80"/>
              <w:left w:type="dxa" w:w="110"/>
              <w:bottom w:type="dxa" w:w="80"/>
              <w:right w:type="dxa" w:w="110"/>
            </w:tcMar>
          </w:tcPr>
          <w:p>
            <w:pPr>
              <w:spacing w:after="40" w:line="260"/>
            </w:pPr>
            <w:r>
              <w:rPr>
                <w:rFonts w:ascii="Arial" w:cs="Arial" w:eastAsia="Arial" w:hAnsi="Arial"/>
                <w:sz w:val="18"/>
                <w:szCs w:val="18"/>
              </w:rPr>
              <w:t xml:space="preserve">5</w:t>
            </w:r>
          </w:p>
        </w:tc>
        <w:tc>
          <w:tcPr>
            <w:tcW w:type="dxa" w:w="2500"/>
            <w:tcMar>
              <w:top w:type="dxa" w:w="80"/>
              <w:left w:type="dxa" w:w="110"/>
              <w:bottom w:type="dxa" w:w="80"/>
              <w:right w:type="dxa" w:w="110"/>
            </w:tcMar>
          </w:tcPr>
          <w:p>
            <w:pPr>
              <w:spacing w:after="40" w:line="260"/>
            </w:pPr>
            <w:r>
              <w:rPr>
                <w:rFonts w:ascii="Arial" w:cs="Arial" w:eastAsia="Arial" w:hAnsi="Arial"/>
                <w:sz w:val="18"/>
                <w:szCs w:val="18"/>
              </w:rPr>
              <w:t xml:space="preserve">U07, then U07 with five events added. Then U05.</w:t>
            </w:r>
          </w:p>
        </w:tc>
        <w:tc>
          <w:tcPr>
            <w:tcW w:type="dxa" w:w="5400"/>
            <w:tcMar>
              <w:top w:type="dxa" w:w="80"/>
              <w:left w:type="dxa" w:w="110"/>
              <w:bottom w:type="dxa" w:w="80"/>
              <w:right w:type="dxa" w:w="110"/>
            </w:tcMar>
          </w:tcPr>
          <w:p>
            <w:pPr>
              <w:spacing w:after="40" w:line="260"/>
            </w:pPr>
            <w:r>
              <w:rPr>
                <w:rFonts w:ascii="Arial" w:cs="Arial" w:eastAsia="Arial" w:hAnsi="Arial"/>
                <w:sz w:val="18"/>
                <w:szCs w:val="18"/>
              </w:rPr>
              <w:t xml:space="preserve">Cold start. Declared interests carry the profile until behaviour arrives. U05 is the other half of that argument: the floor holds while old behaviour fades, which is the most deliberate choice in the specification and the one most likely to be challenged.</w:t>
            </w:r>
          </w:p>
        </w:tc>
        <w:tc>
          <w:tcPr>
            <w:tcW w:type="dxa" w:w="960"/>
            <w:tcMar>
              <w:top w:type="dxa" w:w="80"/>
              <w:left w:type="dxa" w:w="110"/>
              <w:bottom w:type="dxa" w:w="80"/>
              <w:right w:type="dxa" w:w="110"/>
            </w:tcMar>
          </w:tcPr>
          <w:p>
            <w:pPr>
              <w:spacing w:after="40" w:line="260"/>
            </w:pPr>
            <w:r>
              <w:rPr>
                <w:rFonts w:ascii="Arial" w:cs="Arial" w:eastAsia="Arial" w:hAnsi="Arial"/>
                <w:sz w:val="18"/>
                <w:szCs w:val="18"/>
              </w:rPr>
              <w:t xml:space="preserve">2</w:t>
            </w:r>
          </w:p>
        </w:tc>
      </w:tr>
      <w:tr>
        <w:tc>
          <w:tcPr>
            <w:tcW w:type="dxa" w:w="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6</w:t>
            </w:r>
          </w:p>
        </w:tc>
        <w:tc>
          <w:tcPr>
            <w:tcW w:type="dxa" w:w="2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U11.</w:t>
            </w:r>
          </w:p>
        </w:tc>
        <w:tc>
          <w:tcPr>
            <w:tcW w:type="dxa" w:w="54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Nothing at all. Show what is served rather than an empty result, say which rung produced it, and say that popularity is computed across the whole population rather than personalised.</w:t>
            </w:r>
          </w:p>
        </w:tc>
        <w:tc>
          <w:tcPr>
            <w:tcW w:type="dxa" w:w="9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1</w:t>
            </w:r>
          </w:p>
        </w:tc>
      </w:tr>
      <w:tr>
        <w:tc>
          <w:tcPr>
            <w:tcW w:type="dxa" w:w="500"/>
            <w:tcMar>
              <w:top w:type="dxa" w:w="80"/>
              <w:left w:type="dxa" w:w="110"/>
              <w:bottom w:type="dxa" w:w="80"/>
              <w:right w:type="dxa" w:w="110"/>
            </w:tcMar>
          </w:tcPr>
          <w:p>
            <w:pPr>
              <w:spacing w:after="40" w:line="260"/>
            </w:pPr>
            <w:r>
              <w:rPr>
                <w:rFonts w:ascii="Arial" w:cs="Arial" w:eastAsia="Arial" w:hAnsi="Arial"/>
                <w:sz w:val="18"/>
                <w:szCs w:val="18"/>
              </w:rPr>
              <w:t xml:space="preserve">7</w:t>
            </w:r>
          </w:p>
        </w:tc>
        <w:tc>
          <w:tcPr>
            <w:tcW w:type="dxa" w:w="2500"/>
            <w:tcMar>
              <w:top w:type="dxa" w:w="80"/>
              <w:left w:type="dxa" w:w="110"/>
              <w:bottom w:type="dxa" w:w="80"/>
              <w:right w:type="dxa" w:w="110"/>
            </w:tcMar>
          </w:tcPr>
          <w:p>
            <w:pPr>
              <w:spacing w:after="40" w:line="260"/>
            </w:pPr>
            <w:r>
              <w:rPr>
                <w:rFonts w:ascii="Arial" w:cs="Arial" w:eastAsia="Arial" w:hAnsi="Arial"/>
                <w:sz w:val="18"/>
                <w:szCs w:val="18"/>
              </w:rPr>
              <w:t xml:space="preserve">U14 under both methods, side by side.</w:t>
            </w:r>
          </w:p>
        </w:tc>
        <w:tc>
          <w:tcPr>
            <w:tcW w:type="dxa" w:w="5400"/>
            <w:tcMar>
              <w:top w:type="dxa" w:w="80"/>
              <w:left w:type="dxa" w:w="110"/>
              <w:bottom w:type="dxa" w:w="80"/>
              <w:right w:type="dxa" w:w="110"/>
            </w:tcMar>
          </w:tcPr>
          <w:p>
            <w:pPr>
              <w:spacing w:after="40" w:line="260"/>
            </w:pPr>
            <w:r>
              <w:rPr>
                <w:rFonts w:ascii="Arial" w:cs="Arial" w:eastAsia="Arial" w:hAnsi="Arial"/>
                <w:sz w:val="18"/>
                <w:szCs w:val="18"/>
              </w:rPr>
              <w:t xml:space="preserve">Same events, different ordering. This is why both are built and why the choice between them needs real data.</w:t>
            </w:r>
          </w:p>
        </w:tc>
        <w:tc>
          <w:tcPr>
            <w:tcW w:type="dxa" w:w="960"/>
            <w:tcMar>
              <w:top w:type="dxa" w:w="80"/>
              <w:left w:type="dxa" w:w="110"/>
              <w:bottom w:type="dxa" w:w="80"/>
              <w:right w:type="dxa" w:w="110"/>
            </w:tcMar>
          </w:tcPr>
          <w:p>
            <w:pPr>
              <w:spacing w:after="40" w:line="260"/>
            </w:pPr>
            <w:r>
              <w:rPr>
                <w:rFonts w:ascii="Arial" w:cs="Arial" w:eastAsia="Arial" w:hAnsi="Arial"/>
                <w:sz w:val="18"/>
                <w:szCs w:val="18"/>
              </w:rPr>
              <w:t xml:space="preserve">3</w:t>
            </w:r>
          </w:p>
        </w:tc>
      </w:tr>
      <w:tr>
        <w:tc>
          <w:tcPr>
            <w:tcW w:type="dxa" w:w="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8</w:t>
            </w:r>
          </w:p>
        </w:tc>
        <w:tc>
          <w:tcPr>
            <w:tcW w:type="dxa" w:w="2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U16 next to U17.</w:t>
            </w:r>
          </w:p>
        </w:tc>
        <w:tc>
          <w:tcPr>
            <w:tcW w:type="dxa" w:w="54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Identical until the cancellation. The purchase counts from the moment the order is placed, because that is when the interest was shown, and the reversal removes exactly what it added rather than more.</w:t>
            </w:r>
          </w:p>
        </w:tc>
        <w:tc>
          <w:tcPr>
            <w:tcW w:type="dxa" w:w="9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1</w:t>
            </w:r>
          </w:p>
        </w:tc>
      </w:tr>
      <w:tr>
        <w:tc>
          <w:tcPr>
            <w:tcW w:type="dxa" w:w="500"/>
            <w:tcMar>
              <w:top w:type="dxa" w:w="80"/>
              <w:left w:type="dxa" w:w="110"/>
              <w:bottom w:type="dxa" w:w="80"/>
              <w:right w:type="dxa" w:w="110"/>
            </w:tcMar>
          </w:tcPr>
          <w:p>
            <w:pPr>
              <w:spacing w:after="40" w:line="260"/>
            </w:pPr>
            <w:r>
              <w:rPr>
                <w:rFonts w:ascii="Arial" w:cs="Arial" w:eastAsia="Arial" w:hAnsi="Arial"/>
                <w:sz w:val="18"/>
                <w:szCs w:val="18"/>
              </w:rPr>
              <w:t xml:space="preserve">9</w:t>
            </w:r>
          </w:p>
        </w:tc>
        <w:tc>
          <w:tcPr>
            <w:tcW w:type="dxa" w:w="2500"/>
            <w:tcMar>
              <w:top w:type="dxa" w:w="80"/>
              <w:left w:type="dxa" w:w="110"/>
              <w:bottom w:type="dxa" w:w="80"/>
              <w:right w:type="dxa" w:w="110"/>
            </w:tcMar>
          </w:tcPr>
          <w:p>
            <w:pPr>
              <w:spacing w:after="40" w:line="260"/>
            </w:pPr>
            <w:r>
              <w:rPr>
                <w:rFonts w:ascii="Arial" w:cs="Arial" w:eastAsia="Arial" w:hAnsi="Arial"/>
                <w:sz w:val="18"/>
                <w:szCs w:val="18"/>
              </w:rPr>
              <w:t xml:space="preserve">U02, U08 and U10 on one screen with their counters.</w:t>
            </w:r>
          </w:p>
        </w:tc>
        <w:tc>
          <w:tcPr>
            <w:tcW w:type="dxa" w:w="5400"/>
            <w:tcMar>
              <w:top w:type="dxa" w:w="80"/>
              <w:left w:type="dxa" w:w="110"/>
              <w:bottom w:type="dxa" w:w="80"/>
              <w:right w:type="dxa" w:w="110"/>
            </w:tcMar>
          </w:tcPr>
          <w:p>
            <w:pPr>
              <w:spacing w:after="40" w:line="260"/>
            </w:pPr>
            <w:r>
              <w:rPr>
                <w:rFonts w:ascii="Arial" w:cs="Arial" w:eastAsia="Arial" w:hAnsi="Arial"/>
                <w:sz w:val="18"/>
                <w:szCs w:val="18"/>
              </w:rPr>
              <w:t xml:space="preserve">What the model refuses to count: views too short to mean anything, categories it cannot resolve, and timestamps it cannot trust. The counters are separate on purpose, because a rising drop rate and a rising short-view rate say different things.</w:t>
            </w:r>
          </w:p>
        </w:tc>
        <w:tc>
          <w:tcPr>
            <w:tcW w:type="dxa" w:w="960"/>
            <w:tcMar>
              <w:top w:type="dxa" w:w="80"/>
              <w:left w:type="dxa" w:w="110"/>
              <w:bottom w:type="dxa" w:w="80"/>
              <w:right w:type="dxa" w:w="110"/>
            </w:tcMar>
          </w:tcPr>
          <w:p>
            <w:pPr>
              <w:spacing w:after="40" w:line="260"/>
            </w:pPr>
            <w:r>
              <w:rPr>
                <w:rFonts w:ascii="Arial" w:cs="Arial" w:eastAsia="Arial" w:hAnsi="Arial"/>
                <w:sz w:val="18"/>
                <w:szCs w:val="18"/>
              </w:rPr>
              <w:t xml:space="preserve">1</w:t>
            </w:r>
          </w:p>
        </w:tc>
      </w:tr>
      <w:tr>
        <w:tc>
          <w:tcPr>
            <w:tcW w:type="dxa" w:w="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10</w:t>
            </w:r>
          </w:p>
        </w:tc>
        <w:tc>
          <w:tcPr>
            <w:tcW w:type="dxa" w:w="25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conformance check on U20 and the rest of the replay set: decay off against the delivered score, equal on every row.</w:t>
            </w:r>
          </w:p>
        </w:tc>
        <w:tc>
          <w:tcPr>
            <w:tcW w:type="dxa" w:w="54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The new model reproduces the existing one exactly when decay is disabled. Nothing is being broken.</w:t>
            </w:r>
          </w:p>
        </w:tc>
        <w:tc>
          <w:tcPr>
            <w:tcW w:type="dxa" w:w="9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2</w:t>
            </w:r>
          </w:p>
        </w:tc>
      </w:tr>
    </w:tbl>
    <w:p>
      <w:pPr>
        <w:spacing w:after="140"/>
      </w:pPr>
    </w:p>
    <w:p>
      <w:pPr>
        <w:spacing w:after="120" w:line="276"/>
      </w:pPr>
      <w:r>
        <w:rPr>
          <w:rFonts w:ascii="Arial" w:cs="Arial" w:eastAsia="Arial" w:hAnsi="Arial"/>
          <w:sz w:val="20"/>
          <w:szCs w:val="20"/>
        </w:rPr>
        <w:t xml:space="preserve">Step 10 is the one to protect if you run short. It is what earns trust with the platform team, because it shows the new score is an extension of the existing one rather than a replacement for it. Drop in this order if you need the time back: step 9, then step 8, then step 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color="auto" w:val="clear"/>
            <w:tcMar>
              <w:top w:type="dxa" w:w="140"/>
              <w:left w:type="dxa" w:w="160"/>
              <w:bottom w:type="dxa" w:w="140"/>
              <w:right w:type="dxa" w:w="160"/>
            </w:tcMar>
          </w:tcPr>
          <w:p>
            <w:pPr>
              <w:spacing w:after="80"/>
            </w:pPr>
            <w:r>
              <w:rPr>
                <w:rFonts w:ascii="Arial" w:cs="Arial" w:eastAsia="Arial" w:hAnsi="Arial"/>
                <w:b/>
                <w:bCs/>
                <w:sz w:val="19"/>
                <w:szCs w:val="19"/>
              </w:rPr>
              <w:t xml:space="preserve">Before step 10 can be shown at all</w:t>
            </w:r>
          </w:p>
          <w:p>
            <w:pPr>
              <w:spacing w:after="60" w:line="270"/>
            </w:pPr>
            <w:r>
              <w:rPr>
                <w:rFonts w:ascii="Arial" w:cs="Arial" w:eastAsia="Arial" w:hAnsi="Arial"/>
                <w:sz w:val="19"/>
                <w:szCs w:val="19"/>
              </w:rPr>
              <w:t xml:space="preserve">The conformance test compares Method A with decay disabled against the delivered scoring engine. That requires the delivered scoring function to be callable on a constructed event set outside the running application. If it cannot be called, what gets compared is Method A against a reimplementation of the delivered formula, which proves nothing and should not be shown as though it did.</w:t>
            </w:r>
          </w:p>
          <w:p>
            <w:pPr>
              <w:spacing w:after="60" w:line="270"/>
            </w:pPr>
            <w:r>
              <w:rPr>
                <w:rFonts w:ascii="Arial" w:cs="Arial" w:eastAsia="Arial" w:hAnsi="Arial"/>
                <w:sz w:val="19"/>
                <w:szCs w:val="19"/>
              </w:rPr>
              <w:t xml:space="preserve">This is an open dependency in DS-008 v3 section 11 and it needs an answer from Aravinth before the running order is fixed. If the answer is no, drop step 10 and say why rather than showing a comparison that asserts nothing.</w:t>
            </w:r>
          </w:p>
        </w:tc>
      </w:tr>
    </w:tbl>
    <w:p>
      <w:pPr>
        <w:pStyle w:val="Heading2"/>
        <w:spacing w:after="140" w:before="280"/>
      </w:pPr>
      <w:r>
        <w:rPr>
          <w:rFonts w:ascii="Arial" w:cs="Arial" w:eastAsia="Arial" w:hAnsi="Arial"/>
          <w:b/>
          <w:bCs/>
          <w:color w:val="4B2E63"/>
          <w:sz w:val="22"/>
          <w:szCs w:val="22"/>
        </w:rPr>
        <w:t xml:space="preserve">4.1 Built but not narrated</w:t>
      </w:r>
    </w:p>
    <w:p>
      <w:pPr>
        <w:spacing w:after="120" w:line="276"/>
      </w:pPr>
      <w:r>
        <w:rPr>
          <w:rFonts w:ascii="Arial" w:cs="Arial" w:eastAsia="Arial" w:hAnsi="Arial"/>
          <w:sz w:val="20"/>
          <w:szCs w:val="20"/>
        </w:rPr>
        <w:t xml:space="preserve">Six users exist for the data checks and for questions rather than for a step. Version 1 built five users it never showed and did not say so, which is how a generator grows without anyone deciding it should. Have these ready on one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User</w:t>
            </w:r>
          </w:p>
        </w:tc>
        <w:tc>
          <w:tcPr>
            <w:tcW w:type="dxa" w:w="84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Ready to answer</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U03</w:t>
            </w:r>
          </w:p>
        </w:tc>
        <w:tc>
          <w:tcPr>
            <w:tcW w:type="dxa" w:w="8460"/>
            <w:tcMar>
              <w:top w:type="dxa" w:w="80"/>
              <w:left w:type="dxa" w:w="110"/>
              <w:bottom w:type="dxa" w:w="80"/>
              <w:right w:type="dxa" w:w="110"/>
            </w:tcMar>
          </w:tcPr>
          <w:p>
            <w:pPr>
              <w:spacing w:after="40" w:line="260"/>
            </w:pPr>
            <w:r>
              <w:rPr>
                <w:rFonts w:ascii="Arial" w:cs="Arial" w:eastAsia="Arial" w:hAnsi="Arial"/>
                <w:sz w:val="18"/>
                <w:szCs w:val="18"/>
              </w:rPr>
              <w:t xml:space="preserve">Whether a post in two categories is counted twice. It is, at full weight in each, and the reasoning is in DS-008 section 3.2.</w:t>
            </w:r>
          </w:p>
        </w:tc>
      </w:tr>
      <w:tr>
        <w:tc>
          <w:tcPr>
            <w:tcW w:type="dxa" w:w="9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U06</w:t>
            </w:r>
          </w:p>
        </w:tc>
        <w:tc>
          <w:tcPr>
            <w:tcW w:type="dxa" w:w="8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What happens to the old signup categories after the migration, including the four that merge into Home &amp; Living.</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U09</w:t>
            </w:r>
          </w:p>
        </w:tc>
        <w:tc>
          <w:tcPr>
            <w:tcW w:type="dxa" w:w="8460"/>
            <w:tcMar>
              <w:top w:type="dxa" w:w="80"/>
              <w:left w:type="dxa" w:w="110"/>
              <w:bottom w:type="dxa" w:w="80"/>
              <w:right w:type="dxa" w:w="110"/>
            </w:tcMar>
          </w:tcPr>
          <w:p>
            <w:pPr>
              <w:spacing w:after="40" w:line="260"/>
            </w:pPr>
            <w:r>
              <w:rPr>
                <w:rFonts w:ascii="Arial" w:cs="Arial" w:eastAsia="Arial" w:hAnsi="Arial"/>
                <w:sz w:val="18"/>
                <w:szCs w:val="18"/>
              </w:rPr>
              <w:t xml:space="preserve">What a profile looks like with no declared interests at all.</w:t>
            </w:r>
          </w:p>
        </w:tc>
      </w:tr>
      <w:tr>
        <w:tc>
          <w:tcPr>
            <w:tcW w:type="dxa" w:w="9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U15</w:t>
            </w:r>
          </w:p>
        </w:tc>
        <w:tc>
          <w:tcPr>
            <w:tcW w:type="dxa" w:w="8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Whether the three windows overlap. They do not, and this user is the arithmetic that shows it.</w:t>
            </w:r>
          </w:p>
        </w:tc>
      </w:tr>
      <w:tr>
        <w:tc>
          <w:tcPr>
            <w:tcW w:type="dxa" w:w="900"/>
            <w:tcMar>
              <w:top w:type="dxa" w:w="80"/>
              <w:left w:type="dxa" w:w="110"/>
              <w:bottom w:type="dxa" w:w="80"/>
              <w:right w:type="dxa" w:w="110"/>
            </w:tcMar>
          </w:tcPr>
          <w:p>
            <w:pPr>
              <w:spacing w:after="40" w:line="260"/>
            </w:pPr>
            <w:r>
              <w:rPr>
                <w:rFonts w:ascii="Arial" w:cs="Arial" w:eastAsia="Arial" w:hAnsi="Arial"/>
                <w:sz w:val="18"/>
                <w:szCs w:val="18"/>
              </w:rPr>
              <w:t xml:space="preserve">U18</w:t>
            </w:r>
          </w:p>
        </w:tc>
        <w:tc>
          <w:tcPr>
            <w:tcW w:type="dxa" w:w="8460"/>
            <w:tcMar>
              <w:top w:type="dxa" w:w="80"/>
              <w:left w:type="dxa" w:w="110"/>
              <w:bottom w:type="dxa" w:w="80"/>
              <w:right w:type="dxa" w:w="110"/>
            </w:tcMar>
          </w:tcPr>
          <w:p>
            <w:pPr>
              <w:spacing w:after="40" w:line="260"/>
            </w:pPr>
            <w:r>
              <w:rPr>
                <w:rFonts w:ascii="Arial" w:cs="Arial" w:eastAsia="Arial" w:hAnsi="Arial"/>
                <w:sz w:val="18"/>
                <w:szCs w:val="18"/>
              </w:rPr>
              <w:t xml:space="preserve">What happens at the ninety day boundary. Ninety counts in full, ninety one counts for nothing, and decay has no such edge.</w:t>
            </w:r>
          </w:p>
        </w:tc>
      </w:tr>
      <w:tr>
        <w:tc>
          <w:tcPr>
            <w:tcW w:type="dxa" w:w="9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U19</w:t>
            </w:r>
          </w:p>
        </w:tc>
        <w:tc>
          <w:tcPr>
            <w:tcW w:type="dxa" w:w="84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Whether a user with no dominant interest is a failure. It is not.</w:t>
            </w:r>
          </w:p>
        </w:tc>
      </w:tr>
    </w:tbl>
    <w:p>
      <w:pPr>
        <w:pStyle w:val="Heading1"/>
        <w:spacing w:after="140" w:before="280"/>
      </w:pPr>
      <w:r>
        <w:rPr>
          <w:rFonts w:ascii="Arial" w:cs="Arial" w:eastAsia="Arial" w:hAnsi="Arial"/>
          <w:b/>
          <w:bCs/>
          <w:color w:val="4B2E63"/>
          <w:sz w:val="26"/>
          <w:szCs w:val="26"/>
        </w:rPr>
        <w:t xml:space="preserve">5. Four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060"/>
      </w:tblGrid>
      <w:tr>
        <w:trPr>
          <w:tblHeader/>
        </w:trPr>
        <w:tc>
          <w:tcPr>
            <w:tcW w:type="dxa" w:w="7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Day</w:t>
            </w:r>
          </w:p>
        </w:tc>
        <w:tc>
          <w:tcPr>
            <w:tcW w:type="dxa" w:w="460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Allen</w:t>
            </w:r>
          </w:p>
        </w:tc>
        <w:tc>
          <w:tcPr>
            <w:tcW w:type="dxa" w:w="4060"/>
            <w:shd w:fill="4B2E63" w:color="auto" w:val="clear"/>
            <w:tcMar>
              <w:top w:type="dxa" w:w="80"/>
              <w:left w:type="dxa" w:w="110"/>
              <w:bottom w:type="dxa" w:w="80"/>
              <w:right w:type="dxa" w:w="110"/>
            </w:tcMar>
          </w:tcPr>
          <w:p>
            <w:pPr>
              <w:spacing w:after="40" w:line="260"/>
            </w:pPr>
            <w:r>
              <w:rPr>
                <w:rFonts w:ascii="Arial" w:cs="Arial" w:eastAsia="Arial" w:hAnsi="Arial"/>
                <w:b/>
                <w:bCs/>
                <w:color w:val="FFFFFF"/>
                <w:sz w:val="18"/>
                <w:szCs w:val="18"/>
              </w:rPr>
              <w:t xml:space="preserve">Kala</w:t>
            </w:r>
          </w:p>
        </w:tc>
      </w:tr>
      <w:tr>
        <w:tc>
          <w:tcPr>
            <w:tcW w:type="dxa" w:w="700"/>
            <w:tcMar>
              <w:top w:type="dxa" w:w="80"/>
              <w:left w:type="dxa" w:w="110"/>
              <w:bottom w:type="dxa" w:w="80"/>
              <w:right w:type="dxa" w:w="110"/>
            </w:tcMar>
          </w:tcPr>
          <w:p>
            <w:pPr>
              <w:spacing w:after="40" w:line="260"/>
            </w:pPr>
            <w:r>
              <w:rPr>
                <w:rFonts w:ascii="Arial" w:cs="Arial" w:eastAsia="Arial" w:hAnsi="Arial"/>
                <w:sz w:val="18"/>
                <w:szCs w:val="18"/>
              </w:rPr>
              <w:t xml:space="preserve">1</w:t>
            </w:r>
          </w:p>
        </w:tc>
        <w:tc>
          <w:tcPr>
            <w:tcW w:type="dxa" w:w="4600"/>
            <w:tcMar>
              <w:top w:type="dxa" w:w="80"/>
              <w:left w:type="dxa" w:w="110"/>
              <w:bottom w:type="dxa" w:w="80"/>
              <w:right w:type="dxa" w:w="110"/>
            </w:tcMar>
          </w:tcPr>
          <w:p>
            <w:pPr>
              <w:spacing w:after="40" w:line="260"/>
            </w:pPr>
            <w:r>
              <w:rPr>
                <w:rFonts w:ascii="Arial" w:cs="Arial" w:eastAsia="Arial" w:hAnsi="Arial"/>
                <w:sz w:val="18"/>
                <w:szCs w:val="18"/>
              </w:rPr>
              <w:t xml:space="preserve">Score store with the four metadata fields. Generator script: twenty users plus filler, seven fields per row, checked in with a fixed seed.</w:t>
            </w:r>
          </w:p>
        </w:tc>
        <w:tc>
          <w:tcPr>
            <w:tcW w:type="dxa" w:w="4060"/>
            <w:tcMar>
              <w:top w:type="dxa" w:w="80"/>
              <w:left w:type="dxa" w:w="110"/>
              <w:bottom w:type="dxa" w:w="80"/>
              <w:right w:type="dxa" w:w="110"/>
            </w:tcMar>
          </w:tcPr>
          <w:p>
            <w:pPr>
              <w:spacing w:after="40" w:line="260"/>
            </w:pPr>
            <w:r>
              <w:rPr>
                <w:rFonts w:ascii="Arial" w:cs="Arial" w:eastAsia="Arial" w:hAnsi="Arial"/>
                <w:sz w:val="18"/>
                <w:szCs w:val="18"/>
              </w:rPr>
              <w:t xml:space="preserve">Issue DS-008 v3 and DS-012 v2. Put the two conformance questions to Aravinth, since step 10 depends on the answers.</w:t>
            </w:r>
          </w:p>
        </w:tc>
      </w:tr>
      <w:tr>
        <w:tc>
          <w:tcPr>
            <w:tcW w:type="dxa" w:w="7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2</w:t>
            </w:r>
          </w:p>
        </w:tc>
        <w:tc>
          <w:tcPr>
            <w:tcW w:type="dxa" w:w="46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Method one, recency decay, including the reversal aged from the original order. Run the seven data checks in section 3.3.</w:t>
            </w:r>
          </w:p>
        </w:tc>
        <w:tc>
          <w:tcPr>
            <w:tcW w:type="dxa" w:w="40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Draft the narration for each of the ten steps.</w:t>
            </w:r>
          </w:p>
        </w:tc>
      </w:tr>
      <w:tr>
        <w:tc>
          <w:tcPr>
            <w:tcW w:type="dxa" w:w="700"/>
            <w:tcMar>
              <w:top w:type="dxa" w:w="80"/>
              <w:left w:type="dxa" w:w="110"/>
              <w:bottom w:type="dxa" w:w="80"/>
              <w:right w:type="dxa" w:w="110"/>
            </w:tcMar>
          </w:tcPr>
          <w:p>
            <w:pPr>
              <w:spacing w:after="40" w:line="260"/>
            </w:pPr>
            <w:r>
              <w:rPr>
                <w:rFonts w:ascii="Arial" w:cs="Arial" w:eastAsia="Arial" w:hAnsi="Arial"/>
                <w:sz w:val="18"/>
                <w:szCs w:val="18"/>
              </w:rPr>
              <w:t xml:space="preserve">3</w:t>
            </w:r>
          </w:p>
        </w:tc>
        <w:tc>
          <w:tcPr>
            <w:tcW w:type="dxa" w:w="4600"/>
            <w:tcMar>
              <w:top w:type="dxa" w:w="80"/>
              <w:left w:type="dxa" w:w="110"/>
              <w:bottom w:type="dxa" w:w="80"/>
              <w:right w:type="dxa" w:w="110"/>
            </w:tcMar>
          </w:tcPr>
          <w:p>
            <w:pPr>
              <w:spacing w:after="40" w:line="260"/>
            </w:pPr>
            <w:r>
              <w:rPr>
                <w:rFonts w:ascii="Arial" w:cs="Arial" w:eastAsia="Arial" w:hAnsi="Arial"/>
                <w:sz w:val="18"/>
                <w:szCs w:val="18"/>
              </w:rPr>
              <w:t xml:space="preserve">Method two, time windows. Rungs 2 and 3 of the ladder. Display script showing two methods side by side.</w:t>
            </w:r>
          </w:p>
        </w:tc>
        <w:tc>
          <w:tcPr>
            <w:tcW w:type="dxa" w:w="4060"/>
            <w:tcMar>
              <w:top w:type="dxa" w:w="80"/>
              <w:left w:type="dxa" w:w="110"/>
              <w:bottom w:type="dxa" w:w="80"/>
              <w:right w:type="dxa" w:w="110"/>
            </w:tcMar>
          </w:tcPr>
          <w:p>
            <w:pPr>
              <w:spacing w:after="40" w:line="260"/>
            </w:pPr>
            <w:r>
              <w:rPr>
                <w:rFonts w:ascii="Arial" w:cs="Arial" w:eastAsia="Arial" w:hAnsi="Arial"/>
                <w:sz w:val="18"/>
                <w:szCs w:val="18"/>
              </w:rPr>
              <w:t xml:space="preserve">Dry run with Allen. Cut anything that does not prove something.</w:t>
            </w:r>
          </w:p>
        </w:tc>
      </w:tr>
      <w:tr>
        <w:tc>
          <w:tcPr>
            <w:tcW w:type="dxa" w:w="7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4</w:t>
            </w:r>
          </w:p>
        </w:tc>
        <w:tc>
          <w:tcPr>
            <w:tcW w:type="dxa" w:w="460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Conformance check against the restricted replay set. Second dry run, timed.</w:t>
            </w:r>
          </w:p>
        </w:tc>
        <w:tc>
          <w:tcPr>
            <w:tcW w:type="dxa" w:w="4060"/>
            <w:shd w:fill="EDE7F1" w:color="auto" w:val="clear"/>
            <w:tcMar>
              <w:top w:type="dxa" w:w="80"/>
              <w:left w:type="dxa" w:w="110"/>
              <w:bottom w:type="dxa" w:w="80"/>
              <w:right w:type="dxa" w:w="110"/>
            </w:tcMar>
          </w:tcPr>
          <w:p>
            <w:pPr>
              <w:spacing w:after="40" w:line="260"/>
            </w:pPr>
            <w:r>
              <w:rPr>
                <w:rFonts w:ascii="Arial" w:cs="Arial" w:eastAsia="Arial" w:hAnsi="Arial"/>
                <w:sz w:val="18"/>
                <w:szCs w:val="18"/>
              </w:rPr>
              <w:t xml:space="preserve">Final narration. Prepare the four questions in section 6.</w:t>
            </w:r>
          </w:p>
        </w:tc>
      </w:tr>
    </w:tbl>
    <w:p>
      <w:pPr>
        <w:spacing w:after="140"/>
      </w:pPr>
    </w:p>
    <w:p>
      <w:pPr>
        <w:spacing w:after="120" w:line="276"/>
      </w:pPr>
      <w:r>
        <w:rPr>
          <w:rFonts w:ascii="Arial" w:cs="Arial" w:eastAsia="Arial" w:hAnsi="Arial"/>
          <w:sz w:val="20"/>
          <w:szCs w:val="20"/>
        </w:rPr>
        <w:t xml:space="preserve">Day 1 is the tightest point, with the store and the generator on the same day. If anything slips, the generator can move to day 2 and method two to day 3, provided the conformance check keeps its slot on day 4.</w:t>
      </w:r>
    </w:p>
    <w:p>
      <w:pPr>
        <w:pStyle w:val="Heading1"/>
        <w:spacing w:after="140" w:before="280"/>
      </w:pPr>
      <w:r>
        <w:rPr>
          <w:rFonts w:ascii="Arial" w:cs="Arial" w:eastAsia="Arial" w:hAnsi="Arial"/>
          <w:b/>
          <w:bCs/>
          <w:color w:val="4B2E63"/>
          <w:sz w:val="26"/>
          <w:szCs w:val="26"/>
        </w:rPr>
        <w:t xml:space="preserve">6. Four questions you will be asked</w:t>
      </w:r>
    </w:p>
    <w:p>
      <w:pPr>
        <w:spacing w:after="120" w:line="276"/>
      </w:pPr>
      <w:r>
        <w:rPr>
          <w:rFonts w:ascii="Arial" w:cs="Arial" w:eastAsia="Arial" w:hAnsi="Arial"/>
          <w:sz w:val="20"/>
          <w:szCs w:val="20"/>
        </w:rPr>
        <w:t xml:space="preserve">Worth having the answer ready rather than composing it in the room.</w:t>
      </w:r>
    </w:p>
    <w:p>
      <w:pPr>
        <w:pStyle w:val="ListParagraph"/>
        <w:numPr>
          <w:ilvl w:val="0"/>
          <w:numId w:val="2"/>
        </w:numPr>
        <w:spacing w:after="90" w:line="276"/>
      </w:pPr>
      <w:r>
        <w:rPr>
          <w:rFonts w:ascii="Arial" w:cs="Arial" w:eastAsia="Arial" w:hAnsi="Arial"/>
          <w:sz w:val="20"/>
          <w:szCs w:val="20"/>
        </w:rPr>
        <w:t xml:space="preserve">Twenty users is very small. Twenty is the number of distinct behaviours the specification defines, not an estimate of a population. Each of the twenty proves one thing that none of the others prove, and the traceability is in section 3.2. There are also two hundred filler users underneath so that population level numbers are not computed from twenty deliberately skewed profiles. Adding narrated users would add generator work and prove nothing further.</w:t>
      </w:r>
    </w:p>
    <w:p>
      <w:pPr>
        <w:pStyle w:val="ListParagraph"/>
        <w:numPr>
          <w:ilvl w:val="0"/>
          <w:numId w:val="2"/>
        </w:numPr>
        <w:spacing w:after="90" w:line="276"/>
      </w:pPr>
      <w:r>
        <w:rPr>
          <w:rFonts w:ascii="Arial" w:cs="Arial" w:eastAsia="Arial" w:hAnsi="Arial"/>
          <w:sz w:val="20"/>
          <w:szCs w:val="20"/>
        </w:rPr>
        <w:t xml:space="preserve">Which method is better? Unanswerable today and it would be dishonest to guess. Both are built, both compute for every user, and the comparison runs on stored data once there is traffic. The rule for choosing between them is a separate deliverable.</w:t>
      </w:r>
    </w:p>
    <w:p>
      <w:pPr>
        <w:pStyle w:val="ListParagraph"/>
        <w:numPr>
          <w:ilvl w:val="0"/>
          <w:numId w:val="2"/>
        </w:numPr>
        <w:spacing w:after="90" w:line="276"/>
      </w:pPr>
      <w:r>
        <w:rPr>
          <w:rFonts w:ascii="Arial" w:cs="Arial" w:eastAsia="Arial" w:hAnsi="Arial"/>
          <w:sz w:val="20"/>
          <w:szCs w:val="20"/>
        </w:rPr>
        <w:t xml:space="preserve">Why thirty days for the half life? Judgement, not measurement. It is short enough to track changing interest and long enough that a quiet fortnight does not empty a profile. It is held as configuration precisely so it can be corrected from real data without a release.</w:t>
      </w:r>
    </w:p>
    <w:p>
      <w:pPr>
        <w:pStyle w:val="ListParagraph"/>
        <w:numPr>
          <w:ilvl w:val="0"/>
          <w:numId w:val="2"/>
        </w:numPr>
        <w:spacing w:after="90" w:line="276"/>
      </w:pPr>
      <w:r>
        <w:rPr>
          <w:rFonts w:ascii="Arial" w:cs="Arial" w:eastAsia="Arial" w:hAnsi="Arial"/>
          <w:sz w:val="20"/>
          <w:szCs w:val="20"/>
        </w:rPr>
        <w:t xml:space="preserve">When can we see this on real data? Once the app carries users. The first thing that would be shown then is not the score but the distribution of events per user, because that determines whether any of these parameters can be fitted at all.</w:t>
      </w:r>
    </w:p>
    <w:p>
      <w:pPr>
        <w:spacing w:after="160"/>
      </w:pPr>
    </w:p>
    <w:p>
      <w:pPr>
        <w:spacing w:after="120" w:line="276"/>
      </w:pPr>
      <w:r>
        <w:rPr>
          <w:rFonts w:ascii="Arial" w:cs="Arial" w:eastAsia="Arial" w:hAnsi="Arial"/>
          <w:i/>
          <w:iCs/>
          <w:sz w:val="20"/>
          <w:szCs w:val="20"/>
        </w:rPr>
        <w:t xml:space="preserve">If the four days slip, drop steps 9, 8 and 3 rather than shortening the dataset. A demonstration on thin data invites questions the data cannot answer.</w:t>
      </w:r>
    </w:p>
    <w:p>
      <w:pPr>
        <w:spacing w:after="200"/>
      </w:pPr>
    </w:p>
    <w:p>
      <w:pPr>
        <w:spacing w:after="120" w:line="276"/>
      </w:pPr>
      <w:r>
        <w:rPr>
          <w:rFonts w:ascii="Arial" w:cs="Arial" w:eastAsia="Arial" w:hAnsi="Arial"/>
          <w:color w:val="7F7F7F"/>
          <w:sz w:val="16"/>
          <w:szCs w:val="16"/>
        </w:rPr>
        <w:t xml:space="preserve">Cristo Labs   |   Confidential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63" w:sz="4"/>
      </w:pBdr>
      <w:spacing w:after="200"/>
    </w:pPr>
    <w:r>
      <w:rPr>
        <w:rFonts w:ascii="Arial" w:cs="Arial" w:eastAsia="Arial" w:hAnsi="Arial"/>
        <w:color w:val="7F7F7F"/>
        <w:sz w:val="15"/>
        <w:szCs w:val="15"/>
      </w:rPr>
      <w:t xml:space="preserve">SOCO-REC-DS-014 v2   |   M1 demonstration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2026-09-09T16:35:01.203Z</dcterms:created>
  <dcterms:modified xsi:type="dcterms:W3CDTF">2026-09-09T16:35:01.203Z</dcterms:modified>
</cp:coreProperties>
</file>

<file path=docProps/custom.xml><?xml version="1.0" encoding="utf-8"?>
<Properties xmlns="http://schemas.openxmlformats.org/officeDocument/2006/custom-properties" xmlns:vt="http://schemas.openxmlformats.org/officeDocument/2006/docPropsVTypes"/>
</file>