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Настоящая работа посвящена фонетическому явлению, которое названо эффектом МакГурка. Впервые оно было описано в работе [McGurk, MacDonald 1978]. Эффект МакГурка — это иллюзия, возникающая когда слух и зрение получают противоречивую информацию. Так, в эксперименте Г. МакГурка и Дж. Макдональда респондентам предлагалось </w:t>
      </w:r>
      <w:commentRangeStart w:id="0"/>
      <w:r>
        <w:rPr>
          <w:rFonts w:eastAsia="Times New Roman" w:cs="Times New Roman" w:ascii="Times New Roman" w:hAnsi="Times New Roman"/>
          <w:sz w:val="24"/>
          <w:szCs w:val="24"/>
        </w:rPr>
        <w:t>смотреть видео, на котором женщина повторяла слог [ba], в то время как на видео показывалось движение губ для слога [ɡa].</w:t>
      </w:r>
      <w:r>
        <w:rPr>
          <w:rFonts w:eastAsia="Times New Roman" w:cs="Times New Roman" w:ascii="Times New Roman" w:hAnsi="Times New Roman"/>
          <w:sz w:val="24"/>
          <w:szCs w:val="24"/>
        </w:rPr>
      </w:r>
      <w:commentRangeEnd w:id="0"/>
      <w:r>
        <w:commentReference w:id="0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Большинство испытуемых ответили, что слышали на видео звук [da], а при смене слогов (когда показывается [ba], а звук от произношения [ɡa]) респонденты, как правило, слышат [baɡba] или [ɡaba]. В следующем эксперименте ученые решили расширить количество и качество слогов и исследовали уже не только [ba] и [ɡa], но и слоги с глухими согласными [pa] и [ka]. Выяснилось, что и для глухих звуков также появляется отмеченная ранее иллюзия. 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Попытки выяснить, чем же вызван подобный эффект и как реагируют на него носители различных языков, привели к многократному его повторению, изучению на материале различных языков, сравнение этого явления между двумя и более языками. Как оказалось, такая иллюзия появилась неслучайно, и существует ряд объяснений. 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Исследовались не только различные слоги, как в первоначальном эксперименте, но и слова. Например, при исследовании двусложных слов [Cluff, Luce 1990], слоги в связи частотностью были разделены на простые и сложные. Сложные слоги могли иметь как минимум два значения (например, в слове ‘бейсбол’ последний слог может обозначать круглый предмет, предназначенный для метания или формального танца). В задании были слова, связанные со вторым смыслом второго слога. Как показали результаты, восприятие человека работает согласно </w:t>
      </w:r>
      <w:commentRangeStart w:id="1"/>
      <w:r>
        <w:rPr>
          <w:rFonts w:eastAsia="Times New Roman" w:cs="Times New Roman" w:ascii="Times New Roman" w:hAnsi="Times New Roman"/>
          <w:sz w:val="24"/>
          <w:szCs w:val="24"/>
        </w:rPr>
        <w:t>принципу отложенного обязательства</w:t>
      </w:r>
      <w:r>
        <w:rPr>
          <w:rFonts w:eastAsia="Times New Roman" w:cs="Times New Roman" w:ascii="Times New Roman" w:hAnsi="Times New Roman"/>
          <w:sz w:val="24"/>
          <w:szCs w:val="24"/>
        </w:rPr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Вместе с тем оказалось, что любые мелочи, такие как пол говорящего [Green, Stevens, Kuhl, and Meltzoff 1990], скорость произношения [Munhall, Gribble, Sacco, and Ward 1996] или несоответствие пола говорящего и показанного человека на картинке [Green, Stevens, Kuhl, and Meltzoff 1990], влияет на результат. Чем больше шума, тем сильнее наблюдается эффект МакГурка [Sekiyama, Tohkura 1990]; причём неважно, реальный ли это шум (помехи в звуке) или лишь видимый шум (показанный на изображении) [Fixmer, Hawkins 1998]. 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Немаловажно то, что правая часть губ в процессе речи двигается больше, чем левая. В работе [Nicholls, Searle, Bradshaw 2004] рассказывается об эксперименте, в ходе которого участники наблюдали за видеозаписью, где поочередно были спрятаны левая и правая части губ. 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Также в работе [Nath, Beauchamp 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семьям, например, пекинский диалект китайского языка и японский язык [Hayashi, Sekiyama 1998] (</w:t>
      </w:r>
      <w:commentRangeStart w:id="2"/>
      <w:r>
        <w:rPr>
          <w:rFonts w:eastAsia="Times New Roman" w:cs="Times New Roman" w:ascii="Times New Roman" w:hAnsi="Times New Roman"/>
          <w:sz w:val="24"/>
          <w:szCs w:val="24"/>
        </w:rPr>
        <w:t>см. Рис. 1</w:t>
      </w:r>
      <w:r>
        <w:rPr>
          <w:rFonts w:eastAsia="Times New Roman" w:cs="Times New Roman" w:ascii="Times New Roman" w:hAnsi="Times New Roman"/>
          <w:sz w:val="24"/>
          <w:szCs w:val="24"/>
        </w:rPr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). Так, например, в работе [Sekiyama 1993] показано, что японский эффект МакГурка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[Sams, Manninen, Surakka, Helin, Katto 1998] для финского языка, [Gelder, Bertelson, Vroomen, Chen, 1995] для датского и кантонского китайского, [Colin, Radeau, Deltenre 1998] для французского языка. Исследовались также испанский, малайский и корейский [Hardison 1999], канадский французский  [Dupont, Aubin, Menard 2005], немецкий и венгерский [Grasseger 1995], и, конечно,  английский в США [Green, Stevens, Kuhl, Meltzoff], Канаде [Munhall, Gribble, Sacco, Ward 1996] и Англии [McGurk, MacDonald 1976], в Австралии [Burnham, Dodd 2004] и в Шотландии [Munhall, Gribble, Sacco, Ward 1996]. 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 момента проведения классического эксперимента МакГурка, который  был описан выше, было придумано большое количество других стимулов, которые проверяли бы наличие или отсутствие эффекта. Помимо классических слогов [ba], [ɡa], [da] (и [pa], [ka], [ta]), в работе [Sekiyama 1993] встречаются также [ma], [na], [wa], [ra] [fa], а, например, в [Dupont, Aubin, Menard 2005] эти же согласные находятся в интервокальной позиции ([aba], [ada] и так далее), или в [Colin, Radeau, Deltenre 1998] с другим гласным в разных позициях (рассматриваются [bi], [di] и [ibi], [idi] и так далее).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 основном испытуемым предлагается видео с изображением женщины и в работе [Colin, Radeau, Deltenre 1998] говорится, что эффект МакГурка проявляется сильнее, если говорящий — женщина. В работах, где указан пол испытуемых, также в основном преобладает количество женщин.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данной работе мы ставим себе задачу проверить, как работает эффект МакГурка на материале </w:t>
      </w:r>
      <w:r>
        <w:rPr>
          <w:rFonts w:eastAsia="Times New Roman" w:cs="Times New Roman" w:ascii="Times New Roman" w:hAnsi="Times New Roman"/>
          <w:sz w:val="24"/>
          <w:szCs w:val="24"/>
        </w:rPr>
        <w:commentReference w:id="3"/>
      </w:r>
      <w:r>
        <w:rPr>
          <w:rFonts w:eastAsia="Times New Roman" w:cs="Times New Roman" w:ascii="Times New Roman" w:hAnsi="Times New Roman"/>
          <w:sz w:val="24"/>
          <w:szCs w:val="24"/>
        </w:rPr>
        <w:t>СРЛЯ. В ходе работы мы постараемся ответить на следующие вопросы: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Проявляется ли на материале </w:t>
      </w:r>
      <w:r>
        <w:rPr>
          <w:rFonts w:eastAsia="Times New Roman" w:cs="Times New Roman" w:ascii="Times New Roman" w:hAnsi="Times New Roman"/>
          <w:sz w:val="24"/>
          <w:szCs w:val="24"/>
        </w:rPr>
        <w:commentReference w:id="4"/>
      </w:r>
      <w:r>
        <w:rPr>
          <w:rFonts w:eastAsia="Times New Roman" w:cs="Times New Roman" w:ascii="Times New Roman" w:hAnsi="Times New Roman"/>
          <w:sz w:val="24"/>
          <w:szCs w:val="24"/>
        </w:rPr>
        <w:t>СРЛЯ эффект МакГурка?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Если носители СРЛЯ подвержены эффекту МакГурка, то также интересно ответить на более конкретные вопросы: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Влияет ли на проявление эффекта тип сегментов (звонкие взрывные [б], [д], [г]; глухие взрывные [п], [т], [к]; глухие фрикативные [ф], [с], [х]).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Влияет ли на иллюзию использование других гласных (не только [а] нижнего подъема, среднего ряда, нелабиализованные и напряженные, как в классическом эксперименте).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commentRangeStart w:id="5"/>
      <w:r>
        <w:rPr>
          <w:rFonts w:eastAsia="Times New Roman" w:cs="Times New Roman" w:ascii="Times New Roman" w:hAnsi="Times New Roman"/>
          <w:sz w:val="24"/>
          <w:szCs w:val="24"/>
        </w:rPr>
        <w:t>Что узнаётся носителем лучше: твёрдый или мягкий согласный ([б] или [б’], [д] или [д’], [г] или [г’] и так далее )</w:t>
      </w:r>
      <w:r>
        <w:rPr>
          <w:rFonts w:eastAsia="Times New Roman" w:cs="Times New Roman" w:ascii="Times New Roman" w:hAnsi="Times New Roman"/>
          <w:sz w:val="24"/>
          <w:szCs w:val="24"/>
        </w:rPr>
      </w:r>
      <w:commentRangeEnd w:id="5"/>
      <w:r>
        <w:commentReference w:id="5"/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Влияет ли фразовая позиция (</w:t>
      </w:r>
      <w:commentRangeStart w:id="6"/>
      <w:r>
        <w:rPr>
          <w:rFonts w:eastAsia="Times New Roman" w:cs="Times New Roman" w:ascii="Times New Roman" w:hAnsi="Times New Roman"/>
          <w:sz w:val="24"/>
          <w:szCs w:val="24"/>
        </w:rPr>
        <w:t>начало слова, конец слова, интервокальная позиция</w:t>
      </w:r>
      <w:r>
        <w:rPr>
          <w:rFonts w:eastAsia="Times New Roman" w:cs="Times New Roman" w:ascii="Times New Roman" w:hAnsi="Times New Roman"/>
          <w:sz w:val="24"/>
          <w:szCs w:val="24"/>
        </w:rPr>
      </w:r>
      <w:commentRangeEnd w:id="6"/>
      <w:r>
        <w:commentReference w:id="6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на проявление эффекта МакГурка.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Есть ли зависимость между соотношением полов говорящего и слушающего.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</w:t>
      </w:r>
      <w:commentRangeStart w:id="7"/>
      <w:r>
        <w:rPr>
          <w:rFonts w:eastAsia="Times New Roman" w:cs="Times New Roman" w:ascii="Times New Roman" w:hAnsi="Times New Roman"/>
          <w:sz w:val="24"/>
          <w:szCs w:val="24"/>
        </w:rPr>
        <w:t>основании</w:t>
      </w:r>
      <w:r>
        <w:rPr>
          <w:rFonts w:eastAsia="Times New Roman" w:cs="Times New Roman" w:ascii="Times New Roman" w:hAnsi="Times New Roman"/>
          <w:sz w:val="24"/>
          <w:szCs w:val="24"/>
        </w:rPr>
      </w:r>
      <w:commentRangeEnd w:id="7"/>
      <w:r>
        <w:commentReference w:id="7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полученных данных построить статистическую модель, которая на основании вышеперечисленных параметров предсказывает один из четырёх возможных ответов респондента: </w:t>
      </w:r>
    </w:p>
    <w:p>
      <w:pPr>
        <w:pStyle w:val="Normal"/>
        <w:numPr>
          <w:ilvl w:val="1"/>
          <w:numId w:val="3"/>
        </w:numPr>
        <w:spacing w:lineRule="auto" w:line="360" w:before="0" w:after="0"/>
        <w:ind w:left="144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слово, которое произносится на звуковой записи,</w:t>
      </w:r>
    </w:p>
    <w:p>
      <w:pPr>
        <w:pStyle w:val="Normal"/>
        <w:numPr>
          <w:ilvl w:val="1"/>
          <w:numId w:val="3"/>
        </w:numPr>
        <w:spacing w:lineRule="auto" w:line="360" w:before="0" w:after="0"/>
        <w:ind w:left="144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слово, которое показывается на видео изображении</w:t>
      </w:r>
    </w:p>
    <w:p>
      <w:pPr>
        <w:pStyle w:val="Normal"/>
        <w:numPr>
          <w:ilvl w:val="1"/>
          <w:numId w:val="3"/>
        </w:numPr>
        <w:spacing w:lineRule="auto" w:line="360" w:before="0" w:after="0"/>
        <w:ind w:left="144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новое слово (иллюзия),</w:t>
      </w:r>
    </w:p>
    <w:p>
      <w:pPr>
        <w:pStyle w:val="Normal"/>
        <w:numPr>
          <w:ilvl w:val="1"/>
          <w:numId w:val="3"/>
        </w:numPr>
        <w:spacing w:lineRule="auto" w:line="360" w:before="0" w:after="0"/>
        <w:ind w:left="1440" w:right="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какое-то стороннее слово, вызванное ошибкой или непониманием</w:t>
      </w:r>
    </w:p>
    <w:p>
      <w:pPr>
        <w:pStyle w:val="Normal"/>
        <w:spacing w:before="0" w:after="0"/>
        <w:rPr/>
      </w:pPr>
      <w:r>
        <w:rPr/>
        <w:commentReference w:id="8"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GricolaMZ " w:date="2017-01-23T11:29:55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Многозначность. Добавьте что-то про звук, а то непонятно.</w:t>
      </w:r>
    </w:p>
  </w:comment>
  <w:comment w:id="1" w:author="aGricolaMZ " w:date="2017-01-23T11:36:37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что это за принцип? Что это значит? Ничего не понятно.</w:t>
      </w:r>
    </w:p>
  </w:comment>
  <w:comment w:id="2" w:author="aGricolaMZ " w:date="2017-01-23T11:38:28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вставите его? Я вроде уже сделал карту.</w:t>
      </w:r>
    </w:p>
  </w:comment>
  <w:comment w:id="3" w:author="aGricolaMZ " w:date="2017-01-23T11:42:55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слов</w:t>
      </w:r>
    </w:p>
  </w:comment>
  <w:comment w:id="4" w:author="aGricolaMZ " w:date="2017-01-23T11:43:19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слов</w:t>
      </w:r>
    </w:p>
  </w:comment>
  <w:comment w:id="5" w:author="aGricolaMZ " w:date="2017-01-23T11:43:58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 xml:space="preserve">влияет ли на проявление эффекта противопоставление согласных по мягкости: палатализованный / веляризованный </w:t>
      </w:r>
    </w:p>
  </w:comment>
  <w:comment w:id="6" w:author="aGricolaMZ " w:date="2017-01-23T11:46:02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какого слова? Фразовая позиция это  про фокус. в фокусе или нет.</w:t>
      </w:r>
    </w:p>
  </w:comment>
  <w:comment w:id="7" w:author="aGricolaMZ " w:date="2017-01-23T11:46:56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это отдельный абзац.</w:t>
      </w:r>
    </w:p>
  </w:comment>
  <w:comment w:id="8" w:author="aGricolaMZ " w:date="2017-01-23T11:47:17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Ну когда появится список литературы?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  <w:font w:name="Bri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-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sz w:val="24"/>
        <w:u w:val="none"/>
        <w:rFonts w:ascii="Times New Roman" w:hAnsi="Times New Roman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sz w:val="24"/>
        <w:u w:val="none"/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sz w:val="24"/>
        <w:u w:val="none"/>
        <w:rFonts w:ascii="Times New Roman" w:hAnsi="Times New Roman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sz w:val="24"/>
        <w:u w:val="none"/>
        <w:rFonts w:ascii="Times New Roman" w:hAnsi="Times New Roman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sz w:val="24"/>
        <w:u w:val="none"/>
        <w:rFonts w:ascii="Times New Roman" w:hAnsi="Times New Roman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z w:val="24"/>
        <w:u w:val="none"/>
        <w:rFonts w:ascii="Times New Roman" w:hAnsi="Times New Roman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z w:val="24"/>
        <w:u w:val="none"/>
        <w:rFonts w:ascii="Times New Roman" w:hAnsi="Times New Roman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sz w:val="24"/>
        <w:u w:val="none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z w:val="24"/>
        <w:u w:val="none"/>
        <w:rFonts w:ascii="Times New Roman" w:hAnsi="Times New Roman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sz w:val="24"/>
        <w:u w:val="none"/>
        <w:rFonts w:ascii="Times New Roman" w:hAnsi="Times New Roman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z w:val="24"/>
        <w:u w:val="none"/>
        <w:rFonts w:ascii="Times New Roman" w:hAnsi="Times New Roman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z w:val="24"/>
        <w:u w:val="none"/>
        <w:rFonts w:ascii="Times New Roman" w:hAnsi="Times New Roman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sz w:val="24"/>
        <w:u w:val="none"/>
        <w:rFonts w:ascii="Times New Roman" w:hAnsi="Times New Roman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z w:val="24"/>
        <w:u w:val="none"/>
        <w:rFonts w:ascii="Times New Roman" w:hAnsi="Times New Roman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z w:val="24"/>
        <w:u w:val="none"/>
        <w:rFonts w:ascii="Times New Roman" w:hAnsi="Times New Roman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sz w:val="24"/>
        <w:u w:val="none"/>
        <w:rFonts w:ascii="Times New Roman" w:hAnsi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z w:val="24"/>
        <w:u w:val="none"/>
        <w:rFonts w:ascii="Times New Roman" w:hAnsi="Times New Roman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sz w:val="24"/>
        <w:u w:val="none"/>
        <w:rFonts w:ascii="Times New Roman" w:hAnsi="Times New Roman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z w:val="24"/>
        <w:u w:val="none"/>
        <w:rFonts w:ascii="Times New Roman" w:hAnsi="Times New Roman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z w:val="24"/>
        <w:u w:val="none"/>
        <w:rFonts w:ascii="Times New Roman" w:hAnsi="Times New Roman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sz w:val="24"/>
        <w:u w:val="none"/>
        <w:rFonts w:ascii="Times New Roman" w:hAnsi="Times New Roman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z w:val="24"/>
        <w:u w:val="none"/>
        <w:rFonts w:ascii="Times New Roman" w:hAnsi="Times New Roman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z w:val="24"/>
        <w:u w:val="none"/>
        <w:rFonts w:ascii="Times New Roman" w:hAnsi="Times New Roman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sz w:val="24"/>
        <w:u w:val="none"/>
        <w:rFonts w:ascii="Times New Roman" w:hAnsi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e-IL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e-IL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Brill" w:hAnsi="Brill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Brill" w:hAnsi="Brill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Brill" w:hAnsi="Brill" w:cs="DejaVu 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e-IL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LibreOffice/5.0.3.2$Linux_X86_64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lastModifiedBy>aGricolaMZ </cp:lastModifiedBy>
  <dcterms:modified xsi:type="dcterms:W3CDTF">2017-01-23T11:47:31Z</dcterms:modified>
  <cp:revision>2</cp:revision>
</cp:coreProperties>
</file>