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результатов</w:t>
      </w:r>
      <w:r>
        <w:t xml:space="preserve"> </w:t>
      </w:r>
      <w:r>
        <w:t xml:space="preserve">эксперимента</w:t>
      </w:r>
      <w:r>
        <w:t xml:space="preserve"> </w:t>
      </w:r>
      <w:r>
        <w:t xml:space="preserve">(ГМ)</w:t>
      </w:r>
    </w:p>
    <w:p>
      <w:pPr>
        <w:pStyle w:val="Heading2"/>
      </w:pPr>
      <w:bookmarkStart w:id="21" w:name="подготовка"/>
      <w:bookmarkEnd w:id="21"/>
      <w:r>
        <w:t xml:space="preserve">0. Подготовка</w:t>
      </w:r>
    </w:p>
    <w:p>
      <w:pPr>
        <w:pStyle w:val="FirstParagraph"/>
      </w:pPr>
      <w:r>
        <w:t xml:space="preserve">Ставим пакет: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Загружаем данные и смотрим их структуру:</w:t>
      </w:r>
    </w:p>
    <w:p>
      <w:pPr>
        <w:pStyle w:val="SourceCode"/>
      </w:pP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"../data/final 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 w:type="textWrapping"/>
      </w:r>
      <w:r>
        <w:rPr>
          <w:rStyle w:val="VerbatimChar"/>
        </w:rPr>
        <w:t xml:space="preserve">##      id   sex example.audio example.video answer order   v_a</w:t>
      </w:r>
      <w:r>
        <w:br w:type="textWrapping"/>
      </w:r>
      <w:r>
        <w:rPr>
          <w:rStyle w:val="VerbatimChar"/>
        </w:rPr>
        <w:t xml:space="preserve">##   &lt;int&gt; &lt;chr&gt;         &lt;chr&gt;         &lt;chr&gt;  &lt;chr&gt; &lt;int&gt; &lt;chr&gt;</w:t>
      </w:r>
      <w:r>
        <w:br w:type="textWrapping"/>
      </w:r>
      <w:r>
        <w:rPr>
          <w:rStyle w:val="VerbatimChar"/>
        </w:rPr>
        <w:t xml:space="preserve">## 1     1     f             p             k      p     1     v</w:t>
      </w:r>
      <w:r>
        <w:br w:type="textWrapping"/>
      </w:r>
      <w:r>
        <w:rPr>
          <w:rStyle w:val="VerbatimChar"/>
        </w:rPr>
        <w:t xml:space="preserve">## 2     1     f             k             t      k     1     v</w:t>
      </w:r>
      <w:r>
        <w:br w:type="textWrapping"/>
      </w:r>
      <w:r>
        <w:rPr>
          <w:rStyle w:val="VerbatimChar"/>
        </w:rPr>
        <w:t xml:space="preserve">## 3     1     f             t             t      t     1     v</w:t>
      </w:r>
      <w:r>
        <w:br w:type="textWrapping"/>
      </w:r>
      <w:r>
        <w:rPr>
          <w:rStyle w:val="VerbatimChar"/>
        </w:rPr>
        <w:t xml:space="preserve">## 4     1     f             k             k      k     1     v</w:t>
      </w:r>
      <w:r>
        <w:br w:type="textWrapping"/>
      </w:r>
      <w:r>
        <w:rPr>
          <w:rStyle w:val="VerbatimChar"/>
        </w:rPr>
        <w:t xml:space="preserve">## 5     1     f             p             t      p     1     v</w:t>
      </w:r>
      <w:r>
        <w:br w:type="textWrapping"/>
      </w:r>
      <w:r>
        <w:rPr>
          <w:rStyle w:val="VerbatimChar"/>
        </w:rPr>
        <w:t xml:space="preserve">## 6     1     f             t             p      t     1     v</w:t>
      </w:r>
    </w:p>
    <w:p>
      <w:pPr>
        <w:pStyle w:val="FirstParagraph"/>
      </w:pPr>
      <w:r>
        <w:t xml:space="preserve">Переведем некоторые переменные в факторы, для корректного отображения:</w:t>
      </w:r>
    </w:p>
    <w:p>
      <w:pPr>
        <w:pStyle w:val="SourceCode"/>
      </w:pPr>
      <w:r>
        <w:rPr>
          <w:rStyle w:val="NormalTok"/>
        </w:rPr>
        <w:t xml:space="preserve">my_df$example.audio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(my_df$example.audio,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my_df$example.video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(my_df$example.video,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my_df$answer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(my_df$answer,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визуализация"/>
      <w:bookmarkEnd w:id="22"/>
      <w:r>
        <w:t xml:space="preserve">1. Визуализация</w:t>
      </w:r>
    </w:p>
    <w:p>
      <w:pPr>
        <w:pStyle w:val="FirstParagraph"/>
      </w:pPr>
      <w:r>
        <w:t xml:space="preserve">Сперва проанализируем данные только по тем участникам, которые и смотрели видео, и слушали аудио: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(v_a ==</w:t>
      </w:r>
      <w:r>
        <w:rPr>
          <w:rStyle w:val="StringTok"/>
        </w:rPr>
        <w:t xml:space="preserve"> "v"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(sex, example.audio, example.video, answer,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(example.audio, example.video,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(sex~answer)+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"аудио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"видео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"Результаты сгрупированные по ответу и полу"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by_G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разделен на 4 столбца (ответы респондентов) и 2 строки (пол респондентов). Как видно из графика, распределение ответов, видимо, связано с аудио стимулом, а не видео стимулом. Единственное отличие --- многие респонденты ответили, что слышат k, в случае аудио стимула t и видео стимула p. Данный эффект не является эффектом МакГурка, однако нужно показать его статистическую значимость.</w:t>
      </w:r>
      <w:r>
        <w:br w:type="textWrapping"/>
      </w:r>
      <w:r>
        <w:t xml:space="preserve">Посмотрим на аналогичные результаты для тех респондентов, которые лишь слушали аудио стимулы, но не смотрели видео стимулы.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(v_a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(sex, example.audio, example.video, answer,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(example.audio, example.video,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(sex~answer)+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"аудио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"видео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"Результаты сгрупированные по ответу и полу"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by_G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Появляется ощущение, что все носители отвечают одинаково вне зависимости от того, видят ли они видео стимул или нет. Из этого мы можем сделать вывод, что наблюдаемый эффект связан с особенностью нашего стимула, а не вызван каким-то перцептивным эффектом связанным с взаимодействием аудио и видео стимулов.</w:t>
      </w:r>
      <w:r>
        <w:t xml:space="preserve"> </w:t>
      </w:r>
      <w:r>
        <w:t xml:space="preserve">Перечислим некоторые факты, которые мы хотим доказать:</w:t>
      </w:r>
    </w:p>
    <w:p>
      <w:pPr>
        <w:pStyle w:val="Compact"/>
        <w:numPr>
          <w:numId w:val="1001"/>
          <w:ilvl w:val="0"/>
        </w:numPr>
      </w:pPr>
      <w:r>
        <w:t xml:space="preserve">разница в ответах между респондентами разного пола не является статистически значимой</w:t>
      </w:r>
    </w:p>
    <w:p>
      <w:pPr>
        <w:pStyle w:val="Compact"/>
        <w:numPr>
          <w:numId w:val="1001"/>
          <w:ilvl w:val="0"/>
        </w:numPr>
      </w:pPr>
      <w:r>
        <w:t xml:space="preserve">разница в ответах между респондентами смотревших видео стимулы и не смотревших оных не является статистически значимой</w:t>
      </w:r>
    </w:p>
    <w:p>
      <w:pPr>
        <w:pStyle w:val="Compact"/>
        <w:numPr>
          <w:numId w:val="1001"/>
          <w:ilvl w:val="0"/>
        </w:numPr>
      </w:pPr>
      <w:r>
        <w:t xml:space="preserve">ответы респондентов в нашем эксперименте скорее совпадают с аудио стимулом, а не с видео стимулом.</w:t>
      </w:r>
    </w:p>
    <w:p>
      <w:pPr>
        <w:pStyle w:val="Heading2"/>
      </w:pPr>
      <w:bookmarkStart w:id="25" w:name="----"/>
      <w:bookmarkEnd w:id="25"/>
      <w:r>
        <w:t xml:space="preserve">2.1 Влияет ли пол на ответы?</w:t>
      </w:r>
    </w:p>
    <w:p>
      <w:pPr>
        <w:pStyle w:val="FirstParagraph"/>
      </w:pPr>
      <w:r>
        <w:t xml:space="preserve">Начнем с того, что покажем, что пол не влияет на распределение ответов. Для этого составим таблицу с уникальными значениями видео стимулов, аудио стимулов, ответов и переменной, кодирующей смотрели ли данный респондент видео стимул, в строках и полом респондента в столбцах.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answer, v_a, sex)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(example.audio, example.video, answer, v_a))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f, m)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my_df_sex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(my_df_sex)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 w:type="textWrapping"/>
      </w:r>
      <w:r>
        <w:rPr>
          <w:rStyle w:val="VerbatimChar"/>
        </w:rPr>
        <w:t xml:space="preserve">##      type     f     m</w:t>
      </w:r>
      <w:r>
        <w:br w:type="textWrapping"/>
      </w:r>
      <w:r>
        <w:rPr>
          <w:rStyle w:val="VerbatimChar"/>
        </w:rPr>
        <w:t xml:space="preserve">##     &lt;chr&gt; &lt;int&gt; &lt;int&gt;</w:t>
      </w:r>
      <w:r>
        <w:br w:type="textWrapping"/>
      </w:r>
      <w:r>
        <w:rPr>
          <w:rStyle w:val="VerbatimChar"/>
        </w:rPr>
        <w:t xml:space="preserve">## 1 p p p a    15    15</w:t>
      </w:r>
      <w:r>
        <w:br w:type="textWrapping"/>
      </w:r>
      <w:r>
        <w:rPr>
          <w:rStyle w:val="VerbatimChar"/>
        </w:rPr>
        <w:t xml:space="preserve">## 2 p p p v    60    60</w:t>
      </w:r>
      <w:r>
        <w:br w:type="textWrapping"/>
      </w:r>
      <w:r>
        <w:rPr>
          <w:rStyle w:val="VerbatimChar"/>
        </w:rPr>
        <w:t xml:space="preserve">## 3 p t - a     1     0</w:t>
      </w:r>
      <w:r>
        <w:br w:type="textWrapping"/>
      </w:r>
      <w:r>
        <w:rPr>
          <w:rStyle w:val="VerbatimChar"/>
        </w:rPr>
        <w:t xml:space="preserve">## 4 p t p a    14    14</w:t>
      </w:r>
      <w:r>
        <w:br w:type="textWrapping"/>
      </w:r>
      <w:r>
        <w:rPr>
          <w:rStyle w:val="VerbatimChar"/>
        </w:rPr>
        <w:t xml:space="preserve">## 5 p t p v    55    53</w:t>
      </w:r>
      <w:r>
        <w:br w:type="textWrapping"/>
      </w:r>
      <w:r>
        <w:rPr>
          <w:rStyle w:val="VerbatimChar"/>
        </w:rPr>
        <w:t xml:space="preserve">## 6 p t t a     0     1</w:t>
      </w:r>
    </w:p>
    <w:p>
      <w:pPr>
        <w:pStyle w:val="FirstParagraph"/>
      </w:pPr>
      <w:r>
        <w:t xml:space="preserve">Применим к нашим данным тест Фишера: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(my_df_sex[,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1e+07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my_df_sex[, -1]</w:t>
      </w:r>
      <w:r>
        <w:br w:type="textWrapping"/>
      </w:r>
      <w:r>
        <w:rPr>
          <w:rStyle w:val="VerbatimChar"/>
        </w:rPr>
        <w:t xml:space="preserve">## p-value = 0.926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Как видно из очень выского p-value (0.93 &gt; 0.05), у нас нет оснований отбросить нулевую гепотизу о том, что пол респондента не влияет на ответы.</w:t>
      </w:r>
    </w:p>
    <w:p>
      <w:pPr>
        <w:pStyle w:val="Heading2"/>
      </w:pPr>
      <w:bookmarkStart w:id="26" w:name="------"/>
      <w:bookmarkEnd w:id="26"/>
      <w:r>
        <w:t xml:space="preserve">2.2 Влияет ли просмотр видео стимула на ответы?</w:t>
      </w:r>
    </w:p>
    <w:p>
      <w:pPr>
        <w:pStyle w:val="FirstParagraph"/>
      </w:pPr>
      <w:r>
        <w:t xml:space="preserve">Cоставим таблицу с уникальными значениями видео стимулов, аудио стимулов и ответов в строках и переменной, кодирующей смотрели ли данный респондент видео стимул, в столбцах.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answer, v_a)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v_a,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(example.audio, example.video, answer))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v, a)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my_df_v_a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(my_df_v_a)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 w:type="textWrapping"/>
      </w:r>
      <w:r>
        <w:rPr>
          <w:rStyle w:val="VerbatimChar"/>
        </w:rPr>
        <w:t xml:space="preserve">##    type     v     a</w:t>
      </w:r>
      <w:r>
        <w:br w:type="textWrapping"/>
      </w:r>
      <w:r>
        <w:rPr>
          <w:rStyle w:val="VerbatimChar"/>
        </w:rPr>
        <w:t xml:space="preserve">##   &lt;chr&gt; &lt;int&gt; &lt;int&gt;</w:t>
      </w:r>
      <w:r>
        <w:br w:type="textWrapping"/>
      </w:r>
      <w:r>
        <w:rPr>
          <w:rStyle w:val="VerbatimChar"/>
        </w:rPr>
        <w:t xml:space="preserve">## 1 p p p   120    30</w:t>
      </w:r>
      <w:r>
        <w:br w:type="textWrapping"/>
      </w:r>
      <w:r>
        <w:rPr>
          <w:rStyle w:val="VerbatimChar"/>
        </w:rPr>
        <w:t xml:space="preserve">## 2 p t -     0     1</w:t>
      </w:r>
      <w:r>
        <w:br w:type="textWrapping"/>
      </w:r>
      <w:r>
        <w:rPr>
          <w:rStyle w:val="VerbatimChar"/>
        </w:rPr>
        <w:t xml:space="preserve">## 3 p t p   108    28</w:t>
      </w:r>
      <w:r>
        <w:br w:type="textWrapping"/>
      </w:r>
      <w:r>
        <w:rPr>
          <w:rStyle w:val="VerbatimChar"/>
        </w:rPr>
        <w:t xml:space="preserve">## 4 p t t     9     1</w:t>
      </w:r>
      <w:r>
        <w:br w:type="textWrapping"/>
      </w:r>
      <w:r>
        <w:rPr>
          <w:rStyle w:val="VerbatimChar"/>
        </w:rPr>
        <w:t xml:space="preserve">## 5 p t k     3     0</w:t>
      </w:r>
      <w:r>
        <w:br w:type="textWrapping"/>
      </w:r>
      <w:r>
        <w:rPr>
          <w:rStyle w:val="VerbatimChar"/>
        </w:rPr>
        <w:t xml:space="preserve">## 6 p k -     2     0</w:t>
      </w:r>
    </w:p>
    <w:p>
      <w:pPr>
        <w:pStyle w:val="FirstParagraph"/>
      </w:pPr>
      <w:r>
        <w:t xml:space="preserve">Применим к нашим данным тест Фишера: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(my_df_v_a[,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1e+07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my_df_v_a[, -1]</w:t>
      </w:r>
      <w:r>
        <w:br w:type="textWrapping"/>
      </w:r>
      <w:r>
        <w:rPr>
          <w:rStyle w:val="VerbatimChar"/>
        </w:rPr>
        <w:t xml:space="preserve">## p-value = 0.7243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Как видно из очень выского p-value (0.66 &gt; 0.05), у нас нет оснований отбросить нулевую гепотизу о том, что просмотр видео стимулов влияет на ответы респондентов. В результате,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 связанным с взаимодействием аудио и видео стимулов.</w:t>
      </w:r>
    </w:p>
    <w:p>
      <w:pPr>
        <w:pStyle w:val="Heading2"/>
      </w:pPr>
      <w:bookmarkStart w:id="27" w:name="--------"/>
      <w:bookmarkEnd w:id="27"/>
      <w:r>
        <w:t xml:space="preserve">2.3 Каке стимулы больше влияют на ответы: видео или аудио?</w:t>
      </w:r>
    </w:p>
    <w:p>
      <w:pPr>
        <w:pStyle w:val="FirstParagraph"/>
      </w:pPr>
      <w:r>
        <w:t xml:space="preserve">Создадим два столбца</w:t>
      </w:r>
      <w:r>
        <w:t xml:space="preserve"> </w:t>
      </w:r>
      <w:r>
        <w:rPr>
          <w:rStyle w:val="VerbatimChar"/>
        </w:rPr>
        <w:t xml:space="preserve">eq_a</w:t>
      </w:r>
      <w:r>
        <w:t xml:space="preserve">, если ответ респондента совпадает с аудио стимулом, но не с видео стимулом, и</w:t>
      </w:r>
      <w:r>
        <w:t xml:space="preserve"> </w:t>
      </w:r>
      <w:r>
        <w:rPr>
          <w:rStyle w:val="VerbatimChar"/>
        </w:rPr>
        <w:t xml:space="preserve">eq_v</w:t>
      </w:r>
      <w:r>
        <w:t xml:space="preserve">, если ответ респоднта совпадает с видео стимулом, но не с аудио стимулом:</w:t>
      </w:r>
    </w:p>
    <w:p>
      <w:pPr>
        <w:pStyle w:val="SourceCode"/>
      </w:pP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"../data/final 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(example.audio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example.video)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(example.audio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StringTok"/>
        </w:rPr>
        <w:t xml:space="preserve">"eq_a"</w:t>
      </w:r>
      <w:r>
        <w:rPr>
          <w:rStyle w:val="NormalTok"/>
        </w:rPr>
        <w:t xml:space="preserve">, answer),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(example.video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StringTok"/>
        </w:rPr>
        <w:t xml:space="preserve">"eq_v"</w:t>
      </w:r>
      <w:r>
        <w:rPr>
          <w:rStyle w:val="NormalTok"/>
        </w:rPr>
        <w:t xml:space="preserve">, answer))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(answer ==</w:t>
      </w:r>
      <w:r>
        <w:rPr>
          <w:rStyle w:val="StringTok"/>
        </w:rPr>
        <w:t xml:space="preserve"> "eq_a"</w:t>
      </w:r>
      <w:r>
        <w:rPr>
          <w:rStyle w:val="NormalTok"/>
        </w:rPr>
        <w:t xml:space="preserve">|answer ==</w:t>
      </w:r>
      <w:r>
        <w:rPr>
          <w:rStyle w:val="StringTok"/>
        </w:rPr>
        <w:t xml:space="preserve"> "eq_v"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my_df_equalities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(my_df_equalities)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example.audio, example.video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example.audio example.video  eq_a  eq_v</w:t>
      </w:r>
      <w:r>
        <w:br w:type="textWrapping"/>
      </w:r>
      <w:r>
        <w:rPr>
          <w:rStyle w:val="VerbatimChar"/>
        </w:rPr>
        <w:t xml:space="preserve">##           &lt;chr&gt;         &lt;chr&gt; &lt;int&gt; &lt;int&gt;</w:t>
      </w:r>
      <w:r>
        <w:br w:type="textWrapping"/>
      </w:r>
      <w:r>
        <w:rPr>
          <w:rStyle w:val="VerbatimChar"/>
        </w:rPr>
        <w:t xml:space="preserve">## 1             k             p   123    18</w:t>
      </w:r>
      <w:r>
        <w:br w:type="textWrapping"/>
      </w:r>
      <w:r>
        <w:rPr>
          <w:rStyle w:val="VerbatimChar"/>
        </w:rPr>
        <w:t xml:space="preserve">## 2             k             t   118    15</w:t>
      </w:r>
      <w:r>
        <w:br w:type="textWrapping"/>
      </w:r>
      <w:r>
        <w:rPr>
          <w:rStyle w:val="VerbatimChar"/>
        </w:rPr>
        <w:t xml:space="preserve">## 3             p             k   139     8</w:t>
      </w:r>
      <w:r>
        <w:br w:type="textWrapping"/>
      </w:r>
      <w:r>
        <w:rPr>
          <w:rStyle w:val="VerbatimChar"/>
        </w:rPr>
        <w:t xml:space="preserve">## 4             p             t   136    10</w:t>
      </w:r>
      <w:r>
        <w:br w:type="textWrapping"/>
      </w:r>
      <w:r>
        <w:rPr>
          <w:rStyle w:val="VerbatimChar"/>
        </w:rPr>
        <w:t xml:space="preserve">## 5             t             k   148     1</w:t>
      </w:r>
      <w:r>
        <w:br w:type="textWrapping"/>
      </w:r>
      <w:r>
        <w:rPr>
          <w:rStyle w:val="VerbatimChar"/>
        </w:rPr>
        <w:t xml:space="preserve">## 6             t             p    43     7</w:t>
      </w:r>
    </w:p>
    <w:p>
      <w:pPr>
        <w:pStyle w:val="FirstParagraph"/>
      </w:pPr>
      <w:r>
        <w:t xml:space="preserve">В результате, получилось 6 контекстов, в каждом из которых случаев совпадений ответа респондента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2f2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0ad2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результатов эксперимента (ГМ)</dc:title>
  <dc:creator/>
  <dcterms:created xsi:type="dcterms:W3CDTF">2017-05-17T07:16:25Z</dcterms:created>
  <dcterms:modified xsi:type="dcterms:W3CDTF">2017-05-17T07:16:25Z</dcterms:modified>
</cp:coreProperties>
</file>